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C6AC9" w14:textId="77777777" w:rsidR="00C51153" w:rsidRDefault="00C51153" w:rsidP="007C20F4">
      <w:pPr>
        <w:pStyle w:val="CommentText"/>
        <w:ind w:right="386" w:firstLine="540"/>
        <w:jc w:val="both"/>
      </w:pPr>
      <w:bookmarkStart w:id="0" w:name="_Hlk212206877"/>
      <w:bookmarkEnd w:id="0"/>
    </w:p>
    <w:p w14:paraId="36397683" w14:textId="77777777" w:rsidR="00C51153" w:rsidRDefault="00C51153" w:rsidP="007C20F4">
      <w:pPr>
        <w:pStyle w:val="CommentText"/>
        <w:ind w:right="386" w:firstLine="540"/>
        <w:jc w:val="both"/>
      </w:pPr>
    </w:p>
    <w:p w14:paraId="55846318" w14:textId="77777777" w:rsidR="00C51153" w:rsidRDefault="00C51153" w:rsidP="007C20F4">
      <w:pPr>
        <w:pStyle w:val="CommentText"/>
        <w:ind w:right="386" w:firstLine="540"/>
        <w:jc w:val="both"/>
      </w:pPr>
    </w:p>
    <w:p w14:paraId="52DA71F3" w14:textId="77777777" w:rsidR="00C51153" w:rsidRDefault="00C51153" w:rsidP="007C20F4">
      <w:pPr>
        <w:pStyle w:val="CommentText"/>
        <w:ind w:right="386" w:firstLine="540"/>
        <w:jc w:val="both"/>
      </w:pPr>
    </w:p>
    <w:p w14:paraId="21525624" w14:textId="77777777" w:rsidR="00F4367A" w:rsidRPr="00FC3A80" w:rsidRDefault="00C973D6" w:rsidP="007C20F4">
      <w:pPr>
        <w:pStyle w:val="CommentText"/>
        <w:ind w:right="386" w:firstLine="540"/>
        <w:jc w:val="both"/>
      </w:pPr>
      <w:r w:rsidRPr="00FC3A80">
        <w:rPr>
          <w:noProof/>
          <w:lang w:eastAsia="en-GB"/>
        </w:rPr>
        <mc:AlternateContent>
          <mc:Choice Requires="wps">
            <w:drawing>
              <wp:anchor distT="0" distB="0" distL="114300" distR="114300" simplePos="0" relativeHeight="251658240" behindDoc="0" locked="0" layoutInCell="1" allowOverlap="1" wp14:anchorId="16C4FA10" wp14:editId="1DB9FF39">
                <wp:simplePos x="0" y="0"/>
                <wp:positionH relativeFrom="column">
                  <wp:posOffset>5029200</wp:posOffset>
                </wp:positionH>
                <wp:positionV relativeFrom="paragraph">
                  <wp:posOffset>-683895</wp:posOffset>
                </wp:positionV>
                <wp:extent cx="1143000" cy="1485900"/>
                <wp:effectExtent l="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7298C" w14:textId="77777777" w:rsidR="008F58BB" w:rsidRDefault="008F58BB">
                            <w:r>
                              <w:rPr>
                                <w:noProof/>
                                <w:lang w:eastAsia="en-GB"/>
                              </w:rPr>
                              <w:drawing>
                                <wp:inline distT="0" distB="0" distL="0" distR="0" wp14:anchorId="5CB6BCDB" wp14:editId="6977F73F">
                                  <wp:extent cx="944245" cy="1262380"/>
                                  <wp:effectExtent l="0" t="0" r="0" b="7620"/>
                                  <wp:docPr id="1" name="Picture 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4245" cy="12623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4FA10" id="_x0000_t202" coordsize="21600,21600" o:spt="202" path="m,l,21600r21600,l21600,xe">
                <v:stroke joinstyle="miter"/>
                <v:path gradientshapeok="t" o:connecttype="rect"/>
              </v:shapetype>
              <v:shape id="Text Box 2" o:spid="_x0000_s1026" type="#_x0000_t202" style="position:absolute;left:0;text-align:left;margin-left:396pt;margin-top:-53.85pt;width:90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" stroked="f">
                <v:textbox>
                  <w:txbxContent>
                    <w:p w14:paraId="2F97298C" w14:textId="77777777" w:rsidR="008F58BB" w:rsidRDefault="008F58BB">
                      <w:r>
                        <w:rPr>
                          <w:noProof/>
                          <w:lang w:eastAsia="en-GB"/>
                        </w:rPr>
                        <w:drawing>
                          <wp:inline distT="0" distB="0" distL="0" distR="0" wp14:anchorId="5CB6BCDB" wp14:editId="6977F73F">
                            <wp:extent cx="944245" cy="1262380"/>
                            <wp:effectExtent l="0" t="0" r="0" b="7620"/>
                            <wp:docPr id="1" name="Picture 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4245" cy="1262380"/>
                                    </a:xfrm>
                                    <a:prstGeom prst="rect">
                                      <a:avLst/>
                                    </a:prstGeom>
                                    <a:noFill/>
                                    <a:ln>
                                      <a:noFill/>
                                    </a:ln>
                                  </pic:spPr>
                                </pic:pic>
                              </a:graphicData>
                            </a:graphic>
                          </wp:inline>
                        </w:drawing>
                      </w:r>
                    </w:p>
                  </w:txbxContent>
                </v:textbox>
              </v:shape>
            </w:pict>
          </mc:Fallback>
        </mc:AlternateContent>
      </w:r>
      <w:r w:rsidR="00F4367A" w:rsidRPr="00FC3A80">
        <w:t xml:space="preserve">                                                                              </w:t>
      </w:r>
    </w:p>
    <w:p w14:paraId="6EBF54E7" w14:textId="77777777" w:rsidR="00F4367A" w:rsidRPr="00FC3A80" w:rsidRDefault="00F4367A" w:rsidP="007C20F4">
      <w:pPr>
        <w:ind w:right="386" w:firstLine="540"/>
        <w:jc w:val="both"/>
        <w:rPr>
          <w:b/>
          <w:bCs/>
          <w:sz w:val="22"/>
          <w:szCs w:val="22"/>
        </w:rPr>
      </w:pPr>
    </w:p>
    <w:p w14:paraId="3D291A1A" w14:textId="77777777" w:rsidR="00F4367A" w:rsidRPr="0097022F" w:rsidRDefault="00F4367A" w:rsidP="00942056">
      <w:pPr>
        <w:tabs>
          <w:tab w:val="left" w:pos="2160"/>
        </w:tabs>
        <w:ind w:right="386"/>
        <w:jc w:val="both"/>
        <w:rPr>
          <w:rFonts w:cs="Arial"/>
          <w:b/>
          <w:bCs/>
        </w:rPr>
      </w:pPr>
      <w:r w:rsidRPr="0097022F">
        <w:rPr>
          <w:rFonts w:cs="Arial"/>
          <w:b/>
          <w:bCs/>
        </w:rPr>
        <w:t xml:space="preserve">To: </w:t>
      </w:r>
      <w:r w:rsidR="00942056">
        <w:rPr>
          <w:rFonts w:cs="Arial"/>
          <w:b/>
          <w:bCs/>
        </w:rPr>
        <w:tab/>
      </w:r>
      <w:r w:rsidR="00526981">
        <w:rPr>
          <w:rFonts w:cs="Arial"/>
          <w:b/>
          <w:bCs/>
        </w:rPr>
        <w:t>Cabinet</w:t>
      </w:r>
      <w:r w:rsidRPr="0097022F">
        <w:rPr>
          <w:rFonts w:cs="Arial"/>
          <w:b/>
          <w:bCs/>
        </w:rPr>
        <w:tab/>
      </w:r>
      <w:r w:rsidR="00956EB9" w:rsidRPr="0097022F">
        <w:rPr>
          <w:rFonts w:cs="Arial"/>
          <w:b/>
          <w:bCs/>
        </w:rPr>
        <w:t xml:space="preserve"> </w:t>
      </w:r>
      <w:r w:rsidRPr="0097022F">
        <w:rPr>
          <w:rFonts w:cs="Arial"/>
          <w:b/>
          <w:bCs/>
        </w:rPr>
        <w:tab/>
      </w:r>
      <w:r w:rsidRPr="0097022F">
        <w:rPr>
          <w:rFonts w:cs="Arial"/>
          <w:b/>
          <w:bCs/>
        </w:rPr>
        <w:tab/>
      </w:r>
      <w:r w:rsidRPr="0097022F">
        <w:rPr>
          <w:rFonts w:cs="Arial"/>
          <w:b/>
          <w:bCs/>
        </w:rPr>
        <w:tab/>
      </w:r>
    </w:p>
    <w:p w14:paraId="6CDB3EC5" w14:textId="77777777" w:rsidR="00F4367A" w:rsidRPr="0097022F" w:rsidRDefault="00F4367A" w:rsidP="00942056">
      <w:pPr>
        <w:ind w:right="386"/>
        <w:jc w:val="both"/>
        <w:rPr>
          <w:rFonts w:cs="Arial"/>
          <w:b/>
          <w:bCs/>
        </w:rPr>
      </w:pPr>
    </w:p>
    <w:p w14:paraId="3203F7EA" w14:textId="68FBACC1" w:rsidR="00956EB9" w:rsidRPr="0097022F" w:rsidRDefault="00F4367A" w:rsidP="00942056">
      <w:pPr>
        <w:tabs>
          <w:tab w:val="left" w:pos="2127"/>
          <w:tab w:val="left" w:pos="6300"/>
          <w:tab w:val="left" w:pos="7380"/>
        </w:tabs>
        <w:ind w:right="386"/>
        <w:jc w:val="both"/>
        <w:rPr>
          <w:rFonts w:cs="Arial"/>
          <w:b/>
          <w:bCs/>
        </w:rPr>
      </w:pPr>
      <w:r w:rsidRPr="0097022F">
        <w:rPr>
          <w:rFonts w:cs="Arial"/>
          <w:b/>
          <w:bCs/>
        </w:rPr>
        <w:t>Date:</w:t>
      </w:r>
      <w:r w:rsidRPr="0097022F">
        <w:rPr>
          <w:rFonts w:cs="Arial"/>
          <w:b/>
          <w:bCs/>
        </w:rPr>
        <w:tab/>
      </w:r>
      <w:r w:rsidR="005B7689">
        <w:rPr>
          <w:rFonts w:cs="Arial"/>
          <w:b/>
          <w:bCs/>
        </w:rPr>
        <w:t>1</w:t>
      </w:r>
      <w:r w:rsidR="00572DC5">
        <w:rPr>
          <w:rFonts w:cs="Arial"/>
          <w:b/>
          <w:bCs/>
        </w:rPr>
        <w:t>0</w:t>
      </w:r>
      <w:r w:rsidR="00FB14CD" w:rsidRPr="0097022F">
        <w:rPr>
          <w:rFonts w:cs="Arial"/>
          <w:b/>
          <w:bCs/>
        </w:rPr>
        <w:t xml:space="preserve"> December 20</w:t>
      </w:r>
      <w:r w:rsidR="00023727">
        <w:rPr>
          <w:rFonts w:cs="Arial"/>
          <w:b/>
          <w:bCs/>
        </w:rPr>
        <w:t>2</w:t>
      </w:r>
      <w:r w:rsidR="00572DC5">
        <w:rPr>
          <w:rFonts w:cs="Arial"/>
          <w:b/>
          <w:bCs/>
        </w:rPr>
        <w:t>5</w:t>
      </w:r>
    </w:p>
    <w:p w14:paraId="5D4A98A8" w14:textId="77777777" w:rsidR="00BC40F5" w:rsidRPr="0097022F" w:rsidRDefault="00FD359F" w:rsidP="00942056">
      <w:pPr>
        <w:tabs>
          <w:tab w:val="left" w:pos="2160"/>
          <w:tab w:val="left" w:pos="6300"/>
          <w:tab w:val="left" w:pos="7380"/>
        </w:tabs>
        <w:ind w:right="386"/>
        <w:jc w:val="both"/>
        <w:rPr>
          <w:rFonts w:cs="Arial"/>
          <w:b/>
          <w:bCs/>
        </w:rPr>
      </w:pPr>
      <w:r>
        <w:rPr>
          <w:rFonts w:cs="Arial"/>
          <w:b/>
          <w:bCs/>
        </w:rPr>
        <w:t xml:space="preserve">   </w:t>
      </w:r>
    </w:p>
    <w:p w14:paraId="11CF5E45" w14:textId="77777777" w:rsidR="00F4367A" w:rsidRPr="0097022F" w:rsidRDefault="00F4367A" w:rsidP="00942056">
      <w:pPr>
        <w:tabs>
          <w:tab w:val="left" w:pos="2160"/>
          <w:tab w:val="left" w:pos="6300"/>
          <w:tab w:val="left" w:pos="7380"/>
        </w:tabs>
        <w:ind w:right="386"/>
        <w:jc w:val="both"/>
        <w:rPr>
          <w:rFonts w:cs="Arial"/>
          <w:b/>
          <w:bCs/>
        </w:rPr>
      </w:pPr>
      <w:r w:rsidRPr="0097022F">
        <w:rPr>
          <w:rFonts w:cs="Arial"/>
          <w:b/>
          <w:bCs/>
        </w:rPr>
        <w:t xml:space="preserve">Item No:   </w:t>
      </w:r>
      <w:r w:rsidRPr="0097022F">
        <w:rPr>
          <w:rFonts w:cs="Arial"/>
          <w:b/>
          <w:bCs/>
        </w:rPr>
        <w:tab/>
      </w:r>
    </w:p>
    <w:p w14:paraId="5B602C7F" w14:textId="77777777" w:rsidR="00F4367A" w:rsidRPr="0097022F" w:rsidRDefault="00F4367A" w:rsidP="00942056">
      <w:pPr>
        <w:ind w:right="386"/>
        <w:jc w:val="both"/>
        <w:rPr>
          <w:rFonts w:cs="Arial"/>
          <w:b/>
          <w:bCs/>
        </w:rPr>
      </w:pPr>
    </w:p>
    <w:p w14:paraId="1397DD28" w14:textId="5CC6842D" w:rsidR="00F4367A" w:rsidRPr="0097022F" w:rsidRDefault="00F4367A" w:rsidP="00942056">
      <w:pPr>
        <w:ind w:right="386"/>
        <w:jc w:val="both"/>
        <w:rPr>
          <w:rFonts w:cs="Arial"/>
          <w:b/>
          <w:bCs/>
        </w:rPr>
      </w:pPr>
      <w:r w:rsidRPr="0097022F">
        <w:rPr>
          <w:rFonts w:cs="Arial"/>
          <w:b/>
          <w:bCs/>
        </w:rPr>
        <w:t>Report of:</w:t>
      </w:r>
      <w:r w:rsidRPr="0097022F">
        <w:rPr>
          <w:rFonts w:cs="Arial"/>
          <w:b/>
          <w:bCs/>
        </w:rPr>
        <w:tab/>
      </w:r>
      <w:r w:rsidR="00F06FC6">
        <w:rPr>
          <w:rFonts w:cs="Arial"/>
          <w:b/>
          <w:bCs/>
        </w:rPr>
        <w:tab/>
      </w:r>
      <w:r w:rsidR="00572DC5">
        <w:rPr>
          <w:rFonts w:cs="Arial"/>
          <w:b/>
          <w:bCs/>
        </w:rPr>
        <w:t>Group Finance Director</w:t>
      </w:r>
    </w:p>
    <w:p w14:paraId="440BF2EA" w14:textId="77777777" w:rsidR="00F4367A" w:rsidRPr="0097022F" w:rsidRDefault="00F4367A" w:rsidP="00942056">
      <w:pPr>
        <w:tabs>
          <w:tab w:val="left" w:pos="2160"/>
        </w:tabs>
        <w:ind w:right="386"/>
        <w:jc w:val="both"/>
        <w:rPr>
          <w:rFonts w:cs="Arial"/>
          <w:b/>
          <w:bCs/>
        </w:rPr>
      </w:pPr>
    </w:p>
    <w:p w14:paraId="1972DB5E" w14:textId="47603BD8" w:rsidR="00F4367A" w:rsidRPr="0097022F" w:rsidRDefault="00F4367A" w:rsidP="00416EFF">
      <w:pPr>
        <w:ind w:left="2127" w:right="386" w:hanging="2127"/>
        <w:rPr>
          <w:rFonts w:cs="Arial"/>
          <w:b/>
          <w:bCs/>
        </w:rPr>
      </w:pPr>
      <w:r w:rsidRPr="0097022F">
        <w:rPr>
          <w:rFonts w:cs="Arial"/>
          <w:b/>
          <w:bCs/>
        </w:rPr>
        <w:t xml:space="preserve">Title of Report: </w:t>
      </w:r>
      <w:r w:rsidR="00416EFF">
        <w:rPr>
          <w:rFonts w:cs="Arial"/>
          <w:b/>
          <w:bCs/>
        </w:rPr>
        <w:tab/>
      </w:r>
      <w:r w:rsidR="00E0139B" w:rsidRPr="0097022F">
        <w:rPr>
          <w:rFonts w:cs="Arial"/>
          <w:b/>
          <w:bCs/>
        </w:rPr>
        <w:t xml:space="preserve">Medium Term Financial Strategy </w:t>
      </w:r>
      <w:r w:rsidR="00E9541D" w:rsidRPr="0097022F">
        <w:rPr>
          <w:rFonts w:cs="Arial"/>
          <w:b/>
          <w:bCs/>
        </w:rPr>
        <w:t>20</w:t>
      </w:r>
      <w:r w:rsidR="00023727">
        <w:rPr>
          <w:rFonts w:cs="Arial"/>
          <w:b/>
          <w:bCs/>
        </w:rPr>
        <w:t>2</w:t>
      </w:r>
      <w:r w:rsidR="00572DC5">
        <w:rPr>
          <w:rFonts w:cs="Arial"/>
          <w:b/>
          <w:bCs/>
        </w:rPr>
        <w:t>7</w:t>
      </w:r>
      <w:r w:rsidR="00DB1309">
        <w:rPr>
          <w:rFonts w:cs="Arial"/>
          <w:b/>
          <w:bCs/>
        </w:rPr>
        <w:t>-</w:t>
      </w:r>
      <w:r w:rsidR="00A22A47">
        <w:rPr>
          <w:rFonts w:cs="Arial"/>
          <w:b/>
          <w:bCs/>
        </w:rPr>
        <w:t>2</w:t>
      </w:r>
      <w:r w:rsidR="00572DC5">
        <w:rPr>
          <w:rFonts w:cs="Arial"/>
          <w:b/>
          <w:bCs/>
        </w:rPr>
        <w:t>8</w:t>
      </w:r>
      <w:r w:rsidR="00E9541D" w:rsidRPr="0097022F">
        <w:rPr>
          <w:rFonts w:cs="Arial"/>
          <w:b/>
          <w:bCs/>
        </w:rPr>
        <w:t xml:space="preserve"> </w:t>
      </w:r>
      <w:r w:rsidR="00C37395">
        <w:rPr>
          <w:rFonts w:cs="Arial"/>
          <w:b/>
          <w:bCs/>
        </w:rPr>
        <w:t>to 202</w:t>
      </w:r>
      <w:r w:rsidR="00572DC5">
        <w:rPr>
          <w:rFonts w:cs="Arial"/>
          <w:b/>
          <w:bCs/>
        </w:rPr>
        <w:t>9</w:t>
      </w:r>
      <w:r w:rsidR="00ED6871">
        <w:rPr>
          <w:rFonts w:cs="Arial"/>
          <w:b/>
          <w:bCs/>
        </w:rPr>
        <w:t>-</w:t>
      </w:r>
      <w:r w:rsidR="00572DC5">
        <w:rPr>
          <w:rFonts w:cs="Arial"/>
          <w:b/>
          <w:bCs/>
        </w:rPr>
        <w:t>30</w:t>
      </w:r>
      <w:r w:rsidR="00A22A47">
        <w:rPr>
          <w:rFonts w:cs="Arial"/>
          <w:b/>
          <w:bCs/>
        </w:rPr>
        <w:t xml:space="preserve"> </w:t>
      </w:r>
      <w:r w:rsidR="00E0139B" w:rsidRPr="0097022F">
        <w:rPr>
          <w:rFonts w:cs="Arial"/>
          <w:b/>
          <w:bCs/>
        </w:rPr>
        <w:t>and</w:t>
      </w:r>
      <w:r w:rsidR="00416EFF">
        <w:rPr>
          <w:rFonts w:cs="Arial"/>
          <w:b/>
          <w:bCs/>
        </w:rPr>
        <w:br/>
      </w:r>
      <w:r w:rsidR="00E9541D" w:rsidRPr="0097022F">
        <w:rPr>
          <w:rFonts w:cs="Arial"/>
          <w:b/>
          <w:bCs/>
        </w:rPr>
        <w:t>20</w:t>
      </w:r>
      <w:r w:rsidR="00526981">
        <w:rPr>
          <w:rFonts w:cs="Arial"/>
          <w:b/>
          <w:bCs/>
        </w:rPr>
        <w:t>2</w:t>
      </w:r>
      <w:r w:rsidR="00C823B3">
        <w:rPr>
          <w:rFonts w:cs="Arial"/>
          <w:b/>
          <w:bCs/>
        </w:rPr>
        <w:t>6</w:t>
      </w:r>
      <w:r w:rsidR="00E9541D" w:rsidRPr="0097022F">
        <w:rPr>
          <w:rFonts w:cs="Arial"/>
          <w:b/>
          <w:bCs/>
        </w:rPr>
        <w:t>-</w:t>
      </w:r>
      <w:r w:rsidR="0084493A">
        <w:rPr>
          <w:rFonts w:cs="Arial"/>
          <w:b/>
          <w:bCs/>
        </w:rPr>
        <w:t>2</w:t>
      </w:r>
      <w:r w:rsidR="00572DC5">
        <w:rPr>
          <w:rFonts w:cs="Arial"/>
          <w:b/>
          <w:bCs/>
        </w:rPr>
        <w:t>7</w:t>
      </w:r>
      <w:r w:rsidR="00E9541D" w:rsidRPr="0097022F">
        <w:rPr>
          <w:rFonts w:cs="Arial"/>
          <w:b/>
          <w:bCs/>
        </w:rPr>
        <w:t xml:space="preserve"> </w:t>
      </w:r>
      <w:r w:rsidR="00E0139B" w:rsidRPr="0097022F">
        <w:rPr>
          <w:rFonts w:cs="Arial"/>
          <w:b/>
          <w:bCs/>
        </w:rPr>
        <w:t xml:space="preserve">Budget for </w:t>
      </w:r>
      <w:r w:rsidR="00AA3E93" w:rsidRPr="0097022F">
        <w:rPr>
          <w:rFonts w:cs="Arial"/>
          <w:b/>
          <w:bCs/>
        </w:rPr>
        <w:t>Consultation</w:t>
      </w:r>
      <w:r w:rsidR="00FD0234">
        <w:rPr>
          <w:rFonts w:cs="Arial"/>
          <w:b/>
          <w:bCs/>
        </w:rPr>
        <w:t>.</w:t>
      </w:r>
      <w:r w:rsidRPr="0097022F">
        <w:rPr>
          <w:rFonts w:cs="Arial"/>
          <w:b/>
          <w:bCs/>
        </w:rPr>
        <w:tab/>
      </w:r>
    </w:p>
    <w:p w14:paraId="66566F40" w14:textId="77777777" w:rsidR="00F4367A" w:rsidRPr="00FC3A80" w:rsidRDefault="00F4367A" w:rsidP="003A37E1">
      <w:pPr>
        <w:pStyle w:val="Heading1"/>
        <w:ind w:right="386" w:firstLine="540"/>
        <w:jc w:val="both"/>
        <w:rPr>
          <w:sz w:val="22"/>
          <w:szCs w:val="22"/>
          <w:u w:val="single"/>
        </w:rPr>
      </w:pPr>
    </w:p>
    <w:p w14:paraId="1CF6DCBE" w14:textId="77777777" w:rsidR="00F4367A" w:rsidRPr="0097022F" w:rsidRDefault="00F4367A" w:rsidP="00942056">
      <w:pPr>
        <w:pStyle w:val="Heading1"/>
        <w:pBdr>
          <w:top w:val="single" w:sz="4" w:space="1" w:color="auto"/>
          <w:left w:val="single" w:sz="4" w:space="0" w:color="auto"/>
          <w:bottom w:val="single" w:sz="4" w:space="1" w:color="auto"/>
          <w:right w:val="single" w:sz="4" w:space="4" w:color="auto"/>
        </w:pBdr>
        <w:ind w:right="386"/>
        <w:jc w:val="center"/>
        <w:rPr>
          <w:u w:val="single"/>
        </w:rPr>
      </w:pPr>
      <w:r w:rsidRPr="0097022F">
        <w:rPr>
          <w:u w:val="single"/>
        </w:rPr>
        <w:t>Summary and Recommendations</w:t>
      </w:r>
    </w:p>
    <w:p w14:paraId="457F2D7B" w14:textId="77777777" w:rsidR="00F4367A" w:rsidRPr="0097022F" w:rsidRDefault="00F4367A" w:rsidP="00942056">
      <w:pPr>
        <w:pBdr>
          <w:top w:val="single" w:sz="4" w:space="1" w:color="auto"/>
          <w:left w:val="single" w:sz="4" w:space="0" w:color="auto"/>
          <w:bottom w:val="single" w:sz="4" w:space="1" w:color="auto"/>
          <w:right w:val="single" w:sz="4" w:space="4" w:color="auto"/>
        </w:pBdr>
        <w:ind w:right="386"/>
        <w:jc w:val="both"/>
        <w:rPr>
          <w:rFonts w:cs="Arial"/>
        </w:rPr>
      </w:pPr>
    </w:p>
    <w:p w14:paraId="3B0093F6" w14:textId="3105B044" w:rsidR="00F4367A" w:rsidRPr="0097022F" w:rsidRDefault="00F4367A" w:rsidP="3E60D2DB">
      <w:pPr>
        <w:pBdr>
          <w:top w:val="single" w:sz="4" w:space="1" w:color="auto"/>
          <w:left w:val="single" w:sz="4" w:space="0" w:color="auto"/>
          <w:bottom w:val="single" w:sz="4" w:space="1" w:color="auto"/>
          <w:right w:val="single" w:sz="4" w:space="4" w:color="auto"/>
        </w:pBdr>
        <w:ind w:right="386"/>
        <w:jc w:val="both"/>
        <w:rPr>
          <w:rFonts w:cs="Arial"/>
        </w:rPr>
      </w:pPr>
      <w:r w:rsidRPr="3E60D2DB">
        <w:rPr>
          <w:rFonts w:cs="Arial"/>
          <w:b/>
          <w:bCs/>
        </w:rPr>
        <w:t>Purpose of report</w:t>
      </w:r>
      <w:r w:rsidRPr="3E60D2DB">
        <w:rPr>
          <w:rFonts w:cs="Arial"/>
        </w:rPr>
        <w:t xml:space="preserve">:  </w:t>
      </w:r>
      <w:r w:rsidR="00792A7B" w:rsidRPr="3E60D2DB">
        <w:rPr>
          <w:rFonts w:cs="Arial"/>
        </w:rPr>
        <w:t xml:space="preserve">To propose a </w:t>
      </w:r>
      <w:r w:rsidR="68FD5C74" w:rsidRPr="3E60D2DB">
        <w:rPr>
          <w:rFonts w:cs="Arial"/>
        </w:rPr>
        <w:t>Medium-Term</w:t>
      </w:r>
      <w:r w:rsidR="00792A7B" w:rsidRPr="3E60D2DB">
        <w:rPr>
          <w:rFonts w:cs="Arial"/>
        </w:rPr>
        <w:t xml:space="preserve"> Financial Strategy and</w:t>
      </w:r>
      <w:r w:rsidR="00942056" w:rsidRPr="3E60D2DB">
        <w:rPr>
          <w:rFonts w:cs="Arial"/>
        </w:rPr>
        <w:t xml:space="preserve"> </w:t>
      </w:r>
      <w:r w:rsidR="00556EE7" w:rsidRPr="3E60D2DB">
        <w:rPr>
          <w:rFonts w:cs="Arial"/>
        </w:rPr>
        <w:t>the</w:t>
      </w:r>
      <w:r w:rsidR="00166E93" w:rsidRPr="3E60D2DB">
        <w:rPr>
          <w:rFonts w:cs="Arial"/>
        </w:rPr>
        <w:t xml:space="preserve"> </w:t>
      </w:r>
      <w:r w:rsidR="00DB1309" w:rsidRPr="3E60D2DB">
        <w:rPr>
          <w:rFonts w:cs="Arial"/>
        </w:rPr>
        <w:t>20</w:t>
      </w:r>
      <w:r w:rsidR="00526981" w:rsidRPr="3E60D2DB">
        <w:rPr>
          <w:rFonts w:cs="Arial"/>
        </w:rPr>
        <w:t>2</w:t>
      </w:r>
      <w:r w:rsidR="00572DC5">
        <w:rPr>
          <w:rFonts w:cs="Arial"/>
        </w:rPr>
        <w:t>6</w:t>
      </w:r>
      <w:r w:rsidR="00792A7B" w:rsidRPr="3E60D2DB">
        <w:rPr>
          <w:rFonts w:cs="Arial"/>
        </w:rPr>
        <w:t>/</w:t>
      </w:r>
      <w:r w:rsidR="0084493A" w:rsidRPr="3E60D2DB">
        <w:rPr>
          <w:rFonts w:cs="Arial"/>
        </w:rPr>
        <w:t>2</w:t>
      </w:r>
      <w:r w:rsidR="00773BBA">
        <w:rPr>
          <w:rFonts w:cs="Arial"/>
        </w:rPr>
        <w:t>7</w:t>
      </w:r>
      <w:r w:rsidR="00792A7B" w:rsidRPr="3E60D2DB">
        <w:rPr>
          <w:rFonts w:cs="Arial"/>
        </w:rPr>
        <w:t xml:space="preserve"> Budget for consultation</w:t>
      </w:r>
      <w:r>
        <w:tab/>
      </w:r>
      <w:r>
        <w:tab/>
      </w:r>
      <w:r>
        <w:tab/>
      </w:r>
      <w:r>
        <w:tab/>
      </w:r>
      <w:r>
        <w:tab/>
      </w:r>
      <w:r>
        <w:tab/>
      </w:r>
      <w:r>
        <w:tab/>
      </w:r>
      <w:r>
        <w:tab/>
      </w:r>
    </w:p>
    <w:p w14:paraId="20391AC3" w14:textId="77777777" w:rsidR="00166E93" w:rsidRDefault="00166E93" w:rsidP="00942056">
      <w:pPr>
        <w:pStyle w:val="Heading1"/>
        <w:pBdr>
          <w:top w:val="single" w:sz="4" w:space="1" w:color="auto"/>
          <w:left w:val="single" w:sz="4" w:space="0" w:color="auto"/>
          <w:bottom w:val="single" w:sz="4" w:space="1" w:color="auto"/>
          <w:right w:val="single" w:sz="4" w:space="4" w:color="auto"/>
        </w:pBdr>
        <w:tabs>
          <w:tab w:val="left" w:pos="3062"/>
        </w:tabs>
        <w:ind w:right="386"/>
        <w:jc w:val="both"/>
        <w:rPr>
          <w:bCs w:val="0"/>
        </w:rPr>
      </w:pPr>
    </w:p>
    <w:p w14:paraId="49C46EE0" w14:textId="77777777" w:rsidR="00F4367A" w:rsidRPr="00572DC5" w:rsidRDefault="00F4367A" w:rsidP="00942056">
      <w:pPr>
        <w:pStyle w:val="Heading1"/>
        <w:pBdr>
          <w:top w:val="single" w:sz="4" w:space="1" w:color="auto"/>
          <w:left w:val="single" w:sz="4" w:space="0" w:color="auto"/>
          <w:bottom w:val="single" w:sz="4" w:space="1" w:color="auto"/>
          <w:right w:val="single" w:sz="4" w:space="4" w:color="auto"/>
        </w:pBdr>
        <w:tabs>
          <w:tab w:val="left" w:pos="3062"/>
        </w:tabs>
        <w:ind w:right="386"/>
        <w:jc w:val="both"/>
        <w:rPr>
          <w:b w:val="0"/>
          <w:bCs w:val="0"/>
        </w:rPr>
      </w:pPr>
      <w:r w:rsidRPr="00572DC5">
        <w:rPr>
          <w:bCs w:val="0"/>
        </w:rPr>
        <w:t xml:space="preserve">Key </w:t>
      </w:r>
      <w:r w:rsidR="000833D1" w:rsidRPr="00572DC5">
        <w:rPr>
          <w:bCs w:val="0"/>
        </w:rPr>
        <w:t>decision Yes</w:t>
      </w:r>
    </w:p>
    <w:p w14:paraId="0FDE5E85" w14:textId="77777777" w:rsidR="00F4367A" w:rsidRPr="00572DC5" w:rsidRDefault="00F4367A" w:rsidP="00942056">
      <w:pPr>
        <w:pBdr>
          <w:top w:val="single" w:sz="4" w:space="1" w:color="auto"/>
          <w:left w:val="single" w:sz="4" w:space="0" w:color="auto"/>
          <w:bottom w:val="single" w:sz="4" w:space="1" w:color="auto"/>
          <w:right w:val="single" w:sz="4" w:space="4" w:color="auto"/>
        </w:pBdr>
        <w:ind w:right="386"/>
        <w:jc w:val="both"/>
        <w:rPr>
          <w:rFonts w:cs="Arial"/>
        </w:rPr>
      </w:pPr>
    </w:p>
    <w:p w14:paraId="60DCD14E" w14:textId="77777777" w:rsidR="00F4367A" w:rsidRPr="00572DC5" w:rsidRDefault="00F4367A" w:rsidP="00942056">
      <w:pPr>
        <w:pBdr>
          <w:top w:val="single" w:sz="4" w:space="1" w:color="auto"/>
          <w:left w:val="single" w:sz="4" w:space="0" w:color="auto"/>
          <w:bottom w:val="single" w:sz="4" w:space="1" w:color="auto"/>
          <w:right w:val="single" w:sz="4" w:space="4" w:color="auto"/>
        </w:pBdr>
        <w:ind w:right="386"/>
        <w:jc w:val="both"/>
        <w:rPr>
          <w:rFonts w:cs="Arial"/>
          <w:bCs/>
        </w:rPr>
      </w:pPr>
      <w:r w:rsidRPr="00572DC5">
        <w:rPr>
          <w:rFonts w:cs="Arial"/>
          <w:b/>
          <w:bCs/>
        </w:rPr>
        <w:t xml:space="preserve">Executive lead member: </w:t>
      </w:r>
      <w:r w:rsidR="00E0139B" w:rsidRPr="00572DC5">
        <w:rPr>
          <w:rFonts w:cs="Arial"/>
          <w:bCs/>
        </w:rPr>
        <w:t>Councillor Ed Turner</w:t>
      </w:r>
    </w:p>
    <w:p w14:paraId="125697FF" w14:textId="77777777" w:rsidR="00F4367A" w:rsidRPr="00572DC5" w:rsidRDefault="00F4367A" w:rsidP="00942056">
      <w:pPr>
        <w:pStyle w:val="Heading1"/>
        <w:pBdr>
          <w:top w:val="single" w:sz="4" w:space="1" w:color="auto"/>
          <w:left w:val="single" w:sz="4" w:space="0" w:color="auto"/>
          <w:bottom w:val="single" w:sz="4" w:space="1" w:color="auto"/>
          <w:right w:val="single" w:sz="4" w:space="4" w:color="auto"/>
        </w:pBdr>
        <w:ind w:right="386"/>
        <w:jc w:val="both"/>
      </w:pPr>
    </w:p>
    <w:p w14:paraId="1F11D261" w14:textId="77777777" w:rsidR="00F4367A" w:rsidRPr="00572DC5" w:rsidRDefault="00F4367A" w:rsidP="00942056">
      <w:pPr>
        <w:pBdr>
          <w:top w:val="single" w:sz="4" w:space="1" w:color="auto"/>
          <w:left w:val="single" w:sz="4" w:space="0" w:color="auto"/>
          <w:bottom w:val="single" w:sz="4" w:space="1" w:color="auto"/>
          <w:right w:val="single" w:sz="4" w:space="4" w:color="auto"/>
        </w:pBdr>
        <w:ind w:right="386"/>
        <w:jc w:val="both"/>
        <w:rPr>
          <w:rFonts w:cs="Arial"/>
          <w:bCs/>
        </w:rPr>
      </w:pPr>
      <w:r w:rsidRPr="00572DC5">
        <w:rPr>
          <w:rFonts w:cs="Arial"/>
          <w:b/>
          <w:bCs/>
        </w:rPr>
        <w:t xml:space="preserve">Policy Framework: </w:t>
      </w:r>
      <w:r w:rsidR="00E0139B" w:rsidRPr="00572DC5">
        <w:rPr>
          <w:rFonts w:cs="Arial"/>
          <w:bCs/>
        </w:rPr>
        <w:t xml:space="preserve">The Council’s Corporate </w:t>
      </w:r>
      <w:r w:rsidR="00CD5621" w:rsidRPr="00572DC5">
        <w:rPr>
          <w:rFonts w:cs="Arial"/>
          <w:bCs/>
        </w:rPr>
        <w:t>Strategy</w:t>
      </w:r>
      <w:r w:rsidR="00E408CA" w:rsidRPr="00572DC5">
        <w:rPr>
          <w:rFonts w:cs="Arial"/>
          <w:bCs/>
        </w:rPr>
        <w:t xml:space="preserve"> and Council’s </w:t>
      </w:r>
      <w:r w:rsidR="00594340" w:rsidRPr="00572DC5">
        <w:rPr>
          <w:rFonts w:cs="Arial"/>
          <w:bCs/>
        </w:rPr>
        <w:t>Budget</w:t>
      </w:r>
    </w:p>
    <w:p w14:paraId="09C08452" w14:textId="77777777" w:rsidR="00F4367A" w:rsidRPr="00572DC5" w:rsidRDefault="00F4367A" w:rsidP="00942056">
      <w:pPr>
        <w:pStyle w:val="Heading1"/>
        <w:pBdr>
          <w:top w:val="single" w:sz="4" w:space="1" w:color="auto"/>
          <w:left w:val="single" w:sz="4" w:space="0" w:color="auto"/>
          <w:bottom w:val="single" w:sz="4" w:space="1" w:color="auto"/>
          <w:right w:val="single" w:sz="4" w:space="4" w:color="auto"/>
        </w:pBdr>
        <w:ind w:right="386"/>
        <w:jc w:val="both"/>
      </w:pPr>
    </w:p>
    <w:p w14:paraId="39A0F04B" w14:textId="77777777" w:rsidR="00B34AEA" w:rsidRPr="00572DC5" w:rsidRDefault="00F4367A" w:rsidP="00942056">
      <w:pPr>
        <w:pBdr>
          <w:top w:val="single" w:sz="4" w:space="1" w:color="auto"/>
          <w:left w:val="single" w:sz="4" w:space="0" w:color="auto"/>
          <w:bottom w:val="single" w:sz="4" w:space="1" w:color="auto"/>
          <w:right w:val="single" w:sz="4" w:space="4" w:color="auto"/>
        </w:pBdr>
        <w:tabs>
          <w:tab w:val="left" w:pos="3048"/>
        </w:tabs>
        <w:ind w:right="386"/>
        <w:jc w:val="both"/>
        <w:rPr>
          <w:rFonts w:cs="Arial"/>
          <w:b/>
        </w:rPr>
      </w:pPr>
      <w:r w:rsidRPr="00572DC5">
        <w:rPr>
          <w:rFonts w:cs="Arial"/>
          <w:b/>
        </w:rPr>
        <w:t xml:space="preserve">Recommendation(s): </w:t>
      </w:r>
      <w:r w:rsidR="00CD3973" w:rsidRPr="00572DC5">
        <w:rPr>
          <w:rFonts w:cs="Arial"/>
          <w:b/>
        </w:rPr>
        <w:t>Th</w:t>
      </w:r>
      <w:r w:rsidR="00511CD4" w:rsidRPr="00572DC5">
        <w:rPr>
          <w:rFonts w:cs="Arial"/>
          <w:b/>
        </w:rPr>
        <w:t>at</w:t>
      </w:r>
      <w:r w:rsidR="00CD3973" w:rsidRPr="00572DC5">
        <w:rPr>
          <w:rFonts w:cs="Arial"/>
          <w:b/>
        </w:rPr>
        <w:t xml:space="preserve"> </w:t>
      </w:r>
      <w:r w:rsidR="00A041EC" w:rsidRPr="00572DC5">
        <w:rPr>
          <w:rFonts w:cs="Arial"/>
          <w:b/>
        </w:rPr>
        <w:t>Cabin</w:t>
      </w:r>
      <w:r w:rsidR="00C52DEE" w:rsidRPr="00572DC5">
        <w:rPr>
          <w:rFonts w:cs="Arial"/>
          <w:b/>
        </w:rPr>
        <w:t>e</w:t>
      </w:r>
      <w:r w:rsidR="00A041EC" w:rsidRPr="00572DC5">
        <w:rPr>
          <w:rFonts w:cs="Arial"/>
          <w:b/>
        </w:rPr>
        <w:t>t</w:t>
      </w:r>
      <w:r w:rsidR="00CD3973" w:rsidRPr="00572DC5">
        <w:rPr>
          <w:rFonts w:cs="Arial"/>
          <w:b/>
        </w:rPr>
        <w:t xml:space="preserve"> </w:t>
      </w:r>
      <w:r w:rsidR="00511CD4" w:rsidRPr="00572DC5">
        <w:rPr>
          <w:rFonts w:cs="Arial"/>
          <w:b/>
        </w:rPr>
        <w:t>resolves</w:t>
      </w:r>
      <w:r w:rsidR="00CD3973" w:rsidRPr="00572DC5">
        <w:rPr>
          <w:rFonts w:cs="Arial"/>
          <w:b/>
        </w:rPr>
        <w:t xml:space="preserve"> to</w:t>
      </w:r>
      <w:r w:rsidR="00694162" w:rsidRPr="00572DC5">
        <w:rPr>
          <w:rFonts w:cs="Arial"/>
          <w:b/>
        </w:rPr>
        <w:t>:</w:t>
      </w:r>
    </w:p>
    <w:p w14:paraId="6E2F310E" w14:textId="77777777" w:rsidR="00694162" w:rsidRPr="00572DC5" w:rsidRDefault="00694162" w:rsidP="00942056">
      <w:pPr>
        <w:pBdr>
          <w:top w:val="single" w:sz="4" w:space="1" w:color="auto"/>
          <w:left w:val="single" w:sz="4" w:space="0" w:color="auto"/>
          <w:bottom w:val="single" w:sz="4" w:space="1" w:color="auto"/>
          <w:right w:val="single" w:sz="4" w:space="4" w:color="auto"/>
        </w:pBdr>
        <w:tabs>
          <w:tab w:val="left" w:pos="3048"/>
        </w:tabs>
        <w:ind w:right="386"/>
        <w:jc w:val="both"/>
        <w:rPr>
          <w:rFonts w:cs="Arial"/>
          <w:b/>
        </w:rPr>
      </w:pPr>
    </w:p>
    <w:p w14:paraId="2379CEB0" w14:textId="025CA2D5" w:rsidR="00942056" w:rsidRPr="002169C0" w:rsidRDefault="00A71F9E" w:rsidP="12B5E433">
      <w:pPr>
        <w:pBdr>
          <w:top w:val="single" w:sz="4" w:space="1" w:color="000000"/>
          <w:left w:val="single" w:sz="4" w:space="0" w:color="000000"/>
          <w:bottom w:val="single" w:sz="4" w:space="1" w:color="000000"/>
          <w:right w:val="single" w:sz="4" w:space="4" w:color="000000"/>
        </w:pBdr>
        <w:tabs>
          <w:tab w:val="left" w:pos="3048"/>
        </w:tabs>
        <w:ind w:left="567" w:right="386" w:hanging="567"/>
        <w:rPr>
          <w:rFonts w:cs="Arial"/>
        </w:rPr>
      </w:pPr>
      <w:r w:rsidRPr="00572DC5">
        <w:rPr>
          <w:rFonts w:cs="Arial"/>
        </w:rPr>
        <w:t>1</w:t>
      </w:r>
      <w:r w:rsidR="00942056" w:rsidRPr="00572DC5">
        <w:rPr>
          <w:rFonts w:cs="Arial"/>
        </w:rPr>
        <w:t>)</w:t>
      </w:r>
      <w:r w:rsidR="00942056" w:rsidRPr="00572DC5">
        <w:rPr>
          <w:rFonts w:cs="Arial"/>
          <w:b/>
          <w:bCs/>
        </w:rPr>
        <w:t xml:space="preserve"> </w:t>
      </w:r>
      <w:r w:rsidRPr="00572DC5">
        <w:tab/>
      </w:r>
      <w:r w:rsidR="008E2808" w:rsidRPr="00572DC5">
        <w:rPr>
          <w:rFonts w:cs="Arial"/>
        </w:rPr>
        <w:t>A</w:t>
      </w:r>
      <w:r w:rsidR="00942056" w:rsidRPr="00572DC5">
        <w:rPr>
          <w:rFonts w:cs="Arial"/>
        </w:rPr>
        <w:t xml:space="preserve">pprove the </w:t>
      </w:r>
      <w:r w:rsidR="00DB1309" w:rsidRPr="00572DC5">
        <w:rPr>
          <w:rFonts w:cs="Arial"/>
        </w:rPr>
        <w:t>20</w:t>
      </w:r>
      <w:r w:rsidR="00526981" w:rsidRPr="00572DC5">
        <w:rPr>
          <w:rFonts w:cs="Arial"/>
        </w:rPr>
        <w:t>2</w:t>
      </w:r>
      <w:r w:rsidR="00572DC5" w:rsidRPr="00572DC5">
        <w:rPr>
          <w:rFonts w:cs="Arial"/>
        </w:rPr>
        <w:t>6</w:t>
      </w:r>
      <w:r w:rsidR="00DB1309" w:rsidRPr="00572DC5">
        <w:rPr>
          <w:rFonts w:cs="Arial"/>
        </w:rPr>
        <w:t>-</w:t>
      </w:r>
      <w:r w:rsidR="0084493A" w:rsidRPr="00572DC5">
        <w:rPr>
          <w:rFonts w:cs="Arial"/>
        </w:rPr>
        <w:t>2</w:t>
      </w:r>
      <w:r w:rsidR="00572DC5" w:rsidRPr="00572DC5">
        <w:rPr>
          <w:rFonts w:cs="Arial"/>
        </w:rPr>
        <w:t>7</w:t>
      </w:r>
      <w:r w:rsidRPr="00572DC5">
        <w:rPr>
          <w:rFonts w:cs="Arial"/>
        </w:rPr>
        <w:t xml:space="preserve"> </w:t>
      </w:r>
      <w:r w:rsidR="000D3814" w:rsidRPr="00572DC5">
        <w:rPr>
          <w:rFonts w:cs="Arial"/>
        </w:rPr>
        <w:t xml:space="preserve">General Fund and Housing Revenue Account </w:t>
      </w:r>
      <w:r w:rsidRPr="00572DC5">
        <w:rPr>
          <w:rFonts w:cs="Arial"/>
        </w:rPr>
        <w:t>budget</w:t>
      </w:r>
      <w:r w:rsidR="000D3814" w:rsidRPr="00572DC5">
        <w:rPr>
          <w:rFonts w:cs="Arial"/>
        </w:rPr>
        <w:t>s</w:t>
      </w:r>
      <w:r w:rsidRPr="00572DC5">
        <w:rPr>
          <w:rFonts w:cs="Arial"/>
        </w:rPr>
        <w:t xml:space="preserve"> for consultation</w:t>
      </w:r>
      <w:r w:rsidR="003B293A" w:rsidRPr="00572DC5">
        <w:rPr>
          <w:rFonts w:cs="Arial"/>
        </w:rPr>
        <w:t xml:space="preserve"> and</w:t>
      </w:r>
      <w:r w:rsidRPr="00572DC5">
        <w:rPr>
          <w:rFonts w:cs="Arial"/>
        </w:rPr>
        <w:t xml:space="preserve"> the </w:t>
      </w:r>
      <w:r w:rsidR="00942056" w:rsidRPr="00572DC5">
        <w:rPr>
          <w:rFonts w:cs="Arial"/>
        </w:rPr>
        <w:t xml:space="preserve">General Fund </w:t>
      </w:r>
      <w:r w:rsidR="379BD160" w:rsidRPr="00572DC5">
        <w:rPr>
          <w:rFonts w:cs="Arial"/>
        </w:rPr>
        <w:t>and Housing</w:t>
      </w:r>
      <w:r w:rsidR="00694162" w:rsidRPr="00572DC5">
        <w:rPr>
          <w:rFonts w:cs="Arial"/>
        </w:rPr>
        <w:t xml:space="preserve"> </w:t>
      </w:r>
      <w:r w:rsidR="00942056" w:rsidRPr="00572DC5">
        <w:rPr>
          <w:rFonts w:cs="Arial"/>
        </w:rPr>
        <w:t>R</w:t>
      </w:r>
      <w:r w:rsidR="00694162" w:rsidRPr="00572DC5">
        <w:rPr>
          <w:rFonts w:cs="Arial"/>
        </w:rPr>
        <w:t xml:space="preserve">evenue Account </w:t>
      </w:r>
      <w:r w:rsidR="00942056" w:rsidRPr="00572DC5">
        <w:rPr>
          <w:rFonts w:cs="Arial"/>
        </w:rPr>
        <w:t xml:space="preserve">Medium </w:t>
      </w:r>
      <w:r w:rsidR="00942056" w:rsidRPr="002169C0">
        <w:rPr>
          <w:rFonts w:cs="Arial"/>
        </w:rPr>
        <w:t xml:space="preserve">Term Financial </w:t>
      </w:r>
      <w:r w:rsidR="00A041EC" w:rsidRPr="002169C0">
        <w:rPr>
          <w:rFonts w:cs="Arial"/>
        </w:rPr>
        <w:t>Strategy</w:t>
      </w:r>
      <w:r w:rsidR="00942056" w:rsidRPr="002169C0">
        <w:rPr>
          <w:rFonts w:cs="Arial"/>
        </w:rPr>
        <w:t xml:space="preserve"> as </w:t>
      </w:r>
      <w:r w:rsidR="000D3814" w:rsidRPr="002169C0">
        <w:rPr>
          <w:rFonts w:cs="Arial"/>
        </w:rPr>
        <w:t xml:space="preserve">set out </w:t>
      </w:r>
      <w:r w:rsidR="7F3D37A5" w:rsidRPr="002169C0">
        <w:rPr>
          <w:rFonts w:cs="Arial"/>
        </w:rPr>
        <w:t>in Appendices</w:t>
      </w:r>
      <w:r w:rsidR="00942056" w:rsidRPr="002169C0">
        <w:rPr>
          <w:rFonts w:cs="Arial"/>
        </w:rPr>
        <w:t xml:space="preserve"> 1-</w:t>
      </w:r>
      <w:r w:rsidR="0023288D" w:rsidRPr="002169C0">
        <w:rPr>
          <w:rFonts w:cs="Arial"/>
        </w:rPr>
        <w:t>10</w:t>
      </w:r>
      <w:r w:rsidR="00F05A6A" w:rsidRPr="002169C0">
        <w:rPr>
          <w:rFonts w:cs="Arial"/>
        </w:rPr>
        <w:t xml:space="preserve">, </w:t>
      </w:r>
      <w:r w:rsidR="1B25AFC5" w:rsidRPr="002169C0">
        <w:rPr>
          <w:rFonts w:cs="Arial"/>
        </w:rPr>
        <w:t>noting:</w:t>
      </w:r>
      <w:r w:rsidRPr="002169C0">
        <w:br/>
      </w:r>
    </w:p>
    <w:p w14:paraId="12FAFF4C" w14:textId="39455A7C" w:rsidR="00942056" w:rsidRPr="002169C0" w:rsidRDefault="00694162" w:rsidP="6F9FB908">
      <w:pPr>
        <w:pBdr>
          <w:top w:val="single" w:sz="4" w:space="1" w:color="auto"/>
          <w:left w:val="single" w:sz="4" w:space="0" w:color="auto"/>
          <w:bottom w:val="single" w:sz="4" w:space="1" w:color="auto"/>
          <w:right w:val="single" w:sz="4" w:space="4" w:color="auto"/>
        </w:pBdr>
        <w:tabs>
          <w:tab w:val="left" w:pos="567"/>
          <w:tab w:val="left" w:pos="3048"/>
        </w:tabs>
        <w:ind w:left="851" w:right="386" w:hanging="851"/>
        <w:rPr>
          <w:rFonts w:cs="Arial"/>
          <w:highlight w:val="yellow"/>
        </w:rPr>
      </w:pPr>
      <w:r w:rsidRPr="002169C0">
        <w:rPr>
          <w:rFonts w:cs="Arial"/>
        </w:rPr>
        <w:t xml:space="preserve">      </w:t>
      </w:r>
      <w:r w:rsidRPr="002169C0">
        <w:tab/>
      </w:r>
      <w:r w:rsidR="00942056" w:rsidRPr="002169C0">
        <w:rPr>
          <w:rFonts w:cs="Arial"/>
        </w:rPr>
        <w:t xml:space="preserve">a) </w:t>
      </w:r>
      <w:r w:rsidR="004C7821" w:rsidRPr="002169C0">
        <w:rPr>
          <w:rFonts w:cs="Arial"/>
        </w:rPr>
        <w:t>The</w:t>
      </w:r>
      <w:r w:rsidR="00942056" w:rsidRPr="002169C0">
        <w:rPr>
          <w:rFonts w:cs="Arial"/>
        </w:rPr>
        <w:t xml:space="preserve"> Council’s General Fund Budget Requirement of £</w:t>
      </w:r>
      <w:r w:rsidR="009A6E5B" w:rsidRPr="002169C0">
        <w:rPr>
          <w:rFonts w:cs="Arial"/>
        </w:rPr>
        <w:t>30</w:t>
      </w:r>
      <w:r w:rsidR="00A37BBD" w:rsidRPr="002169C0">
        <w:rPr>
          <w:rFonts w:cs="Arial"/>
        </w:rPr>
        <w:t>.</w:t>
      </w:r>
      <w:r w:rsidR="009776F4" w:rsidRPr="002169C0">
        <w:rPr>
          <w:rFonts w:cs="Arial"/>
        </w:rPr>
        <w:t>945</w:t>
      </w:r>
      <w:r w:rsidR="00942056" w:rsidRPr="002169C0">
        <w:rPr>
          <w:rFonts w:cs="Arial"/>
        </w:rPr>
        <w:t xml:space="preserve"> million for </w:t>
      </w:r>
      <w:r w:rsidR="003F4A26" w:rsidRPr="002169C0">
        <w:rPr>
          <w:rFonts w:cs="Arial"/>
        </w:rPr>
        <w:t xml:space="preserve">  </w:t>
      </w:r>
      <w:r w:rsidR="00942056" w:rsidRPr="002169C0">
        <w:rPr>
          <w:rFonts w:cs="Arial"/>
        </w:rPr>
        <w:t>20</w:t>
      </w:r>
      <w:r w:rsidR="00E57B55" w:rsidRPr="002169C0">
        <w:rPr>
          <w:rFonts w:cs="Arial"/>
        </w:rPr>
        <w:t>2</w:t>
      </w:r>
      <w:r w:rsidR="00572DC5" w:rsidRPr="002169C0">
        <w:rPr>
          <w:rFonts w:cs="Arial"/>
        </w:rPr>
        <w:t>6</w:t>
      </w:r>
      <w:r w:rsidR="00942056" w:rsidRPr="002169C0">
        <w:rPr>
          <w:rFonts w:cs="Arial"/>
        </w:rPr>
        <w:t>/</w:t>
      </w:r>
      <w:r w:rsidR="0084493A" w:rsidRPr="002169C0">
        <w:rPr>
          <w:rFonts w:cs="Arial"/>
        </w:rPr>
        <w:t>2</w:t>
      </w:r>
      <w:r w:rsidR="00572DC5" w:rsidRPr="002169C0">
        <w:rPr>
          <w:rFonts w:cs="Arial"/>
        </w:rPr>
        <w:t>7</w:t>
      </w:r>
      <w:r w:rsidR="003F4A26" w:rsidRPr="002169C0">
        <w:rPr>
          <w:rFonts w:cs="Arial"/>
        </w:rPr>
        <w:t xml:space="preserve"> </w:t>
      </w:r>
      <w:r w:rsidR="00942056" w:rsidRPr="002169C0">
        <w:rPr>
          <w:rFonts w:cs="Arial"/>
        </w:rPr>
        <w:t xml:space="preserve">and an increase in the Band D Council Tax of </w:t>
      </w:r>
      <w:r w:rsidR="004D7F12" w:rsidRPr="002169C0">
        <w:rPr>
          <w:rFonts w:cs="Arial"/>
        </w:rPr>
        <w:t>2</w:t>
      </w:r>
      <w:r w:rsidR="00942056" w:rsidRPr="002169C0">
        <w:rPr>
          <w:rFonts w:cs="Arial"/>
        </w:rPr>
        <w:t>.</w:t>
      </w:r>
      <w:r w:rsidR="00A77B8D" w:rsidRPr="002169C0">
        <w:rPr>
          <w:rFonts w:cs="Arial"/>
        </w:rPr>
        <w:t>99</w:t>
      </w:r>
      <w:r w:rsidR="00942056" w:rsidRPr="002169C0">
        <w:rPr>
          <w:rFonts w:cs="Arial"/>
        </w:rPr>
        <w:t>% or £</w:t>
      </w:r>
      <w:r w:rsidR="004D7F12" w:rsidRPr="002169C0">
        <w:rPr>
          <w:rFonts w:cs="Arial"/>
        </w:rPr>
        <w:t>10.</w:t>
      </w:r>
      <w:r w:rsidR="00643D50" w:rsidRPr="002169C0">
        <w:rPr>
          <w:rFonts w:cs="Arial"/>
        </w:rPr>
        <w:t>67</w:t>
      </w:r>
      <w:r w:rsidR="00942056" w:rsidRPr="002169C0">
        <w:rPr>
          <w:rFonts w:cs="Arial"/>
        </w:rPr>
        <w:t xml:space="preserve"> per </w:t>
      </w:r>
      <w:r w:rsidR="00A146A5" w:rsidRPr="002169C0">
        <w:rPr>
          <w:rFonts w:cs="Arial"/>
        </w:rPr>
        <w:t>a</w:t>
      </w:r>
      <w:r w:rsidR="00942056" w:rsidRPr="002169C0">
        <w:rPr>
          <w:rFonts w:cs="Arial"/>
        </w:rPr>
        <w:t>nnum</w:t>
      </w:r>
      <w:r w:rsidR="003F4A26" w:rsidRPr="002169C0">
        <w:rPr>
          <w:rFonts w:cs="Arial"/>
        </w:rPr>
        <w:t xml:space="preserve"> </w:t>
      </w:r>
      <w:r w:rsidR="00942056" w:rsidRPr="002169C0">
        <w:rPr>
          <w:rFonts w:cs="Arial"/>
        </w:rPr>
        <w:t>representing a Band D Council Tax of £</w:t>
      </w:r>
      <w:r w:rsidR="004D7F12" w:rsidRPr="002169C0">
        <w:rPr>
          <w:rFonts w:cs="Arial"/>
        </w:rPr>
        <w:t>3</w:t>
      </w:r>
      <w:r w:rsidR="00643D50" w:rsidRPr="002169C0">
        <w:rPr>
          <w:rFonts w:cs="Arial"/>
        </w:rPr>
        <w:t>67.38</w:t>
      </w:r>
      <w:r w:rsidR="00942056" w:rsidRPr="002169C0">
        <w:rPr>
          <w:rFonts w:cs="Arial"/>
        </w:rPr>
        <w:t xml:space="preserve"> per annum</w:t>
      </w:r>
      <w:r w:rsidR="007D0000" w:rsidRPr="002169C0">
        <w:rPr>
          <w:rFonts w:cs="Arial"/>
        </w:rPr>
        <w:t xml:space="preserve"> </w:t>
      </w:r>
      <w:r w:rsidR="004D7F12" w:rsidRPr="002169C0">
        <w:rPr>
          <w:rFonts w:cs="Arial"/>
        </w:rPr>
        <w:t>assuming it is confirmed that the authority is able to do</w:t>
      </w:r>
      <w:r w:rsidR="009F72D1">
        <w:rPr>
          <w:rFonts w:cs="Arial"/>
        </w:rPr>
        <w:t xml:space="preserve"> so.</w:t>
      </w:r>
      <w:r w:rsidR="004D7F12" w:rsidRPr="002169C0">
        <w:rPr>
          <w:rFonts w:cs="Arial"/>
        </w:rPr>
        <w:t xml:space="preserve"> </w:t>
      </w:r>
      <w:r w:rsidR="009F222D" w:rsidRPr="002169C0">
        <w:rPr>
          <w:rFonts w:cs="Arial"/>
          <w:highlight w:val="yellow"/>
        </w:rPr>
        <w:t xml:space="preserve"> </w:t>
      </w:r>
      <w:r w:rsidR="004B3CE0" w:rsidRPr="002169C0">
        <w:rPr>
          <w:rFonts w:cs="Arial"/>
          <w:highlight w:val="yellow"/>
        </w:rPr>
        <w:t xml:space="preserve"> </w:t>
      </w:r>
    </w:p>
    <w:p w14:paraId="4220B36B" w14:textId="77777777" w:rsidR="00A71F9E" w:rsidRPr="00182588" w:rsidRDefault="00A71F9E" w:rsidP="00416EFF">
      <w:pPr>
        <w:pBdr>
          <w:top w:val="single" w:sz="4" w:space="1" w:color="auto"/>
          <w:left w:val="single" w:sz="4" w:space="0" w:color="auto"/>
          <w:bottom w:val="single" w:sz="4" w:space="1" w:color="auto"/>
          <w:right w:val="single" w:sz="4" w:space="4" w:color="auto"/>
        </w:pBdr>
        <w:tabs>
          <w:tab w:val="left" w:pos="567"/>
          <w:tab w:val="left" w:pos="3048"/>
        </w:tabs>
        <w:ind w:right="386"/>
        <w:rPr>
          <w:rFonts w:cs="Arial"/>
        </w:rPr>
      </w:pPr>
    </w:p>
    <w:p w14:paraId="7B8FDB2C" w14:textId="243C6051" w:rsidR="001005F5" w:rsidRPr="00182588" w:rsidRDefault="00694162" w:rsidP="00416EFF">
      <w:pPr>
        <w:pBdr>
          <w:top w:val="single" w:sz="4" w:space="1" w:color="auto"/>
          <w:left w:val="single" w:sz="4" w:space="0" w:color="auto"/>
          <w:bottom w:val="single" w:sz="4" w:space="1" w:color="auto"/>
          <w:right w:val="single" w:sz="4" w:space="4" w:color="auto"/>
        </w:pBdr>
        <w:tabs>
          <w:tab w:val="left" w:pos="567"/>
        </w:tabs>
        <w:ind w:left="851" w:right="386" w:hanging="851"/>
        <w:rPr>
          <w:rFonts w:cs="Arial"/>
        </w:rPr>
      </w:pPr>
      <w:r w:rsidRPr="00182588">
        <w:rPr>
          <w:rFonts w:cs="Arial"/>
        </w:rPr>
        <w:t xml:space="preserve">     </w:t>
      </w:r>
      <w:r w:rsidR="003F4A26" w:rsidRPr="00182588">
        <w:rPr>
          <w:rFonts w:cs="Arial"/>
        </w:rPr>
        <w:tab/>
      </w:r>
      <w:r w:rsidR="0059228F" w:rsidRPr="00845D05">
        <w:rPr>
          <w:rFonts w:cs="Arial"/>
        </w:rPr>
        <w:t>b</w:t>
      </w:r>
      <w:r w:rsidR="00942056" w:rsidRPr="00845D05">
        <w:rPr>
          <w:rFonts w:cs="Arial"/>
        </w:rPr>
        <w:t xml:space="preserve">) </w:t>
      </w:r>
      <w:r w:rsidR="004C7821" w:rsidRPr="00845D05">
        <w:rPr>
          <w:rFonts w:cs="Arial"/>
        </w:rPr>
        <w:t>The</w:t>
      </w:r>
      <w:r w:rsidR="00942056" w:rsidRPr="00845D05">
        <w:rPr>
          <w:rFonts w:cs="Arial"/>
        </w:rPr>
        <w:t xml:space="preserve"> Housing Revenue Account budget for 20</w:t>
      </w:r>
      <w:r w:rsidR="00C52DEE" w:rsidRPr="00845D05">
        <w:rPr>
          <w:rFonts w:cs="Arial"/>
        </w:rPr>
        <w:t>2</w:t>
      </w:r>
      <w:r w:rsidR="00765FE7" w:rsidRPr="00845D05">
        <w:rPr>
          <w:rFonts w:cs="Arial"/>
        </w:rPr>
        <w:t>6</w:t>
      </w:r>
      <w:r w:rsidR="00942056" w:rsidRPr="00845D05">
        <w:rPr>
          <w:rFonts w:cs="Arial"/>
        </w:rPr>
        <w:t>/</w:t>
      </w:r>
      <w:r w:rsidR="0084493A" w:rsidRPr="00845D05">
        <w:rPr>
          <w:rFonts w:cs="Arial"/>
        </w:rPr>
        <w:t>2</w:t>
      </w:r>
      <w:r w:rsidR="00765FE7" w:rsidRPr="00845D05">
        <w:rPr>
          <w:rFonts w:cs="Arial"/>
        </w:rPr>
        <w:t>7</w:t>
      </w:r>
      <w:r w:rsidR="00942056" w:rsidRPr="00845D05">
        <w:rPr>
          <w:rFonts w:cs="Arial"/>
        </w:rPr>
        <w:t xml:space="preserve"> </w:t>
      </w:r>
      <w:r w:rsidR="001005F5" w:rsidRPr="00845D05">
        <w:rPr>
          <w:rFonts w:cs="Arial"/>
        </w:rPr>
        <w:t>of £</w:t>
      </w:r>
      <w:r w:rsidR="00182588" w:rsidRPr="00845D05">
        <w:rPr>
          <w:rFonts w:cs="Arial"/>
        </w:rPr>
        <w:t xml:space="preserve">68.2 </w:t>
      </w:r>
      <w:r w:rsidR="001005F5" w:rsidRPr="00845D05">
        <w:rPr>
          <w:rFonts w:cs="Arial"/>
        </w:rPr>
        <w:t xml:space="preserve">million </w:t>
      </w:r>
      <w:r w:rsidR="00942056" w:rsidRPr="00845D05">
        <w:rPr>
          <w:rFonts w:cs="Arial"/>
        </w:rPr>
        <w:t>and a</w:t>
      </w:r>
      <w:r w:rsidR="00832276" w:rsidRPr="00845D05">
        <w:rPr>
          <w:rFonts w:cs="Arial"/>
        </w:rPr>
        <w:t>n</w:t>
      </w:r>
      <w:r w:rsidR="00942056" w:rsidRPr="00845D05">
        <w:rPr>
          <w:rFonts w:cs="Arial"/>
        </w:rPr>
        <w:t xml:space="preserve"> </w:t>
      </w:r>
      <w:r w:rsidR="00832276" w:rsidRPr="00845D05">
        <w:rPr>
          <w:rFonts w:cs="Arial"/>
        </w:rPr>
        <w:t xml:space="preserve">increase </w:t>
      </w:r>
      <w:r w:rsidR="00ED5CA8" w:rsidRPr="00845D05">
        <w:rPr>
          <w:rFonts w:cs="Arial"/>
        </w:rPr>
        <w:t xml:space="preserve">of </w:t>
      </w:r>
      <w:r w:rsidR="00765FE7" w:rsidRPr="00845D05">
        <w:rPr>
          <w:rFonts w:cs="Arial"/>
        </w:rPr>
        <w:t>4</w:t>
      </w:r>
      <w:r w:rsidR="00926CB3" w:rsidRPr="00845D05">
        <w:rPr>
          <w:rFonts w:cs="Arial"/>
        </w:rPr>
        <w:t>.8</w:t>
      </w:r>
      <w:r w:rsidR="00453506" w:rsidRPr="00845D05">
        <w:rPr>
          <w:rFonts w:cs="Arial"/>
        </w:rPr>
        <w:t>%</w:t>
      </w:r>
      <w:r w:rsidR="00926CB3" w:rsidRPr="00845D05">
        <w:rPr>
          <w:rFonts w:cs="Arial"/>
        </w:rPr>
        <w:t xml:space="preserve"> </w:t>
      </w:r>
      <w:r w:rsidR="006A45E5" w:rsidRPr="00845D05">
        <w:rPr>
          <w:rFonts w:cs="Arial"/>
        </w:rPr>
        <w:t>.</w:t>
      </w:r>
      <w:r w:rsidR="00DE3FBB" w:rsidRPr="00845D05">
        <w:rPr>
          <w:rFonts w:cs="Arial"/>
        </w:rPr>
        <w:t>(</w:t>
      </w:r>
      <w:r w:rsidR="00EF69AB" w:rsidRPr="00845D05">
        <w:rPr>
          <w:rFonts w:cs="Arial"/>
        </w:rPr>
        <w:t xml:space="preserve">average of </w:t>
      </w:r>
      <w:r w:rsidR="00ED5CA8" w:rsidRPr="00845D05">
        <w:rPr>
          <w:rFonts w:cs="Arial"/>
        </w:rPr>
        <w:t>£</w:t>
      </w:r>
      <w:r w:rsidR="000C04C9" w:rsidRPr="00845D05">
        <w:rPr>
          <w:rFonts w:cs="Arial"/>
        </w:rPr>
        <w:t>8</w:t>
      </w:r>
      <w:r w:rsidR="00EF69AB" w:rsidRPr="00845D05">
        <w:rPr>
          <w:rFonts w:cs="Arial"/>
        </w:rPr>
        <w:t>.</w:t>
      </w:r>
      <w:r w:rsidR="000C04C9" w:rsidRPr="00845D05">
        <w:rPr>
          <w:rFonts w:cs="Arial"/>
        </w:rPr>
        <w:t>47</w:t>
      </w:r>
      <w:r w:rsidR="00511CD4" w:rsidRPr="00845D05">
        <w:rPr>
          <w:rFonts w:cs="Arial"/>
        </w:rPr>
        <w:t xml:space="preserve"> per week</w:t>
      </w:r>
      <w:r w:rsidR="00ED5CA8" w:rsidRPr="00845D05">
        <w:rPr>
          <w:rFonts w:cs="Arial"/>
        </w:rPr>
        <w:t xml:space="preserve">) in </w:t>
      </w:r>
      <w:r w:rsidR="001A7147" w:rsidRPr="00845D05">
        <w:rPr>
          <w:rFonts w:cs="Arial"/>
        </w:rPr>
        <w:t xml:space="preserve">social </w:t>
      </w:r>
      <w:r w:rsidR="00942056" w:rsidRPr="00845D05">
        <w:rPr>
          <w:rFonts w:cs="Arial"/>
        </w:rPr>
        <w:t>dwelling rent</w:t>
      </w:r>
      <w:r w:rsidR="001A7147" w:rsidRPr="00845D05">
        <w:rPr>
          <w:rFonts w:cs="Arial"/>
        </w:rPr>
        <w:t>s</w:t>
      </w:r>
      <w:r w:rsidR="00942056" w:rsidRPr="00845D05">
        <w:rPr>
          <w:rFonts w:cs="Arial"/>
        </w:rPr>
        <w:t xml:space="preserve"> </w:t>
      </w:r>
      <w:r w:rsidRPr="00845D05">
        <w:rPr>
          <w:rFonts w:cs="Arial"/>
        </w:rPr>
        <w:t>fr</w:t>
      </w:r>
      <w:r w:rsidR="005501CA" w:rsidRPr="00845D05">
        <w:rPr>
          <w:rFonts w:cs="Arial"/>
        </w:rPr>
        <w:t>om</w:t>
      </w:r>
      <w:r w:rsidRPr="00845D05">
        <w:rPr>
          <w:rFonts w:cs="Arial"/>
        </w:rPr>
        <w:t xml:space="preserve"> </w:t>
      </w:r>
      <w:r w:rsidR="00C52DEE" w:rsidRPr="00845D05">
        <w:rPr>
          <w:rFonts w:cs="Arial"/>
        </w:rPr>
        <w:t xml:space="preserve">1 </w:t>
      </w:r>
      <w:r w:rsidR="00DE3FBB" w:rsidRPr="00845D05">
        <w:rPr>
          <w:rFonts w:cs="Arial"/>
        </w:rPr>
        <w:t>April 20</w:t>
      </w:r>
      <w:r w:rsidR="00832276" w:rsidRPr="00845D05">
        <w:rPr>
          <w:rFonts w:cs="Arial"/>
        </w:rPr>
        <w:t>2</w:t>
      </w:r>
      <w:r w:rsidR="000C04C9" w:rsidRPr="00845D05">
        <w:rPr>
          <w:rFonts w:cs="Arial"/>
        </w:rPr>
        <w:t>6</w:t>
      </w:r>
      <w:r w:rsidR="008E7C41" w:rsidRPr="00845D05">
        <w:rPr>
          <w:rFonts w:cs="Arial"/>
        </w:rPr>
        <w:t xml:space="preserve"> </w:t>
      </w:r>
      <w:r w:rsidR="006E289A" w:rsidRPr="00845D05">
        <w:rPr>
          <w:rFonts w:cs="Arial"/>
        </w:rPr>
        <w:t xml:space="preserve">(see paragraphs </w:t>
      </w:r>
      <w:r w:rsidR="009767EE">
        <w:rPr>
          <w:rFonts w:cs="Arial"/>
        </w:rPr>
        <w:t>9</w:t>
      </w:r>
      <w:r w:rsidR="004C52C3">
        <w:rPr>
          <w:rFonts w:cs="Arial"/>
        </w:rPr>
        <w:t>0</w:t>
      </w:r>
      <w:r w:rsidR="006E289A" w:rsidRPr="00845D05">
        <w:rPr>
          <w:rFonts w:cs="Arial"/>
        </w:rPr>
        <w:t>-</w:t>
      </w:r>
      <w:r w:rsidR="009767EE">
        <w:rPr>
          <w:rFonts w:cs="Arial"/>
        </w:rPr>
        <w:t>9</w:t>
      </w:r>
      <w:r w:rsidR="004C52C3">
        <w:rPr>
          <w:rFonts w:cs="Arial"/>
        </w:rPr>
        <w:t>2</w:t>
      </w:r>
      <w:r w:rsidR="006E289A" w:rsidRPr="00845D05">
        <w:rPr>
          <w:rFonts w:cs="Arial"/>
        </w:rPr>
        <w:t xml:space="preserve">) </w:t>
      </w:r>
      <w:r w:rsidR="008E2808" w:rsidRPr="00845D05">
        <w:rPr>
          <w:rFonts w:cs="Arial"/>
        </w:rPr>
        <w:t>giving</w:t>
      </w:r>
      <w:r w:rsidR="001A7147" w:rsidRPr="00845D05">
        <w:rPr>
          <w:rFonts w:cs="Arial"/>
        </w:rPr>
        <w:t xml:space="preserve"> a </w:t>
      </w:r>
      <w:r w:rsidR="00ED5CA8" w:rsidRPr="00845D05">
        <w:rPr>
          <w:rFonts w:cs="Arial"/>
        </w:rPr>
        <w:t xml:space="preserve">revised </w:t>
      </w:r>
      <w:r w:rsidR="001A7147" w:rsidRPr="00845D05">
        <w:rPr>
          <w:rFonts w:cs="Arial"/>
        </w:rPr>
        <w:t>weekly average social rent of £1</w:t>
      </w:r>
      <w:r w:rsidR="00845D05" w:rsidRPr="00845D05">
        <w:rPr>
          <w:rFonts w:cs="Arial"/>
        </w:rPr>
        <w:t>43.40</w:t>
      </w:r>
      <w:r w:rsidR="00942056" w:rsidRPr="00845D05">
        <w:rPr>
          <w:rFonts w:cs="Arial"/>
        </w:rPr>
        <w:t xml:space="preserve"> as set out in Appendix</w:t>
      </w:r>
      <w:r w:rsidR="001005F5" w:rsidRPr="00845D05">
        <w:rPr>
          <w:rFonts w:cs="Arial"/>
        </w:rPr>
        <w:t xml:space="preserve"> </w:t>
      </w:r>
      <w:r w:rsidR="00C52DEE" w:rsidRPr="00845D05">
        <w:rPr>
          <w:rFonts w:cs="Arial"/>
        </w:rPr>
        <w:t>5</w:t>
      </w:r>
      <w:r w:rsidR="005C6470">
        <w:rPr>
          <w:rFonts w:cs="Arial"/>
        </w:rPr>
        <w:t>.</w:t>
      </w:r>
    </w:p>
    <w:p w14:paraId="58D815E1" w14:textId="77777777" w:rsidR="00A00FF0" w:rsidRPr="00765FE7" w:rsidRDefault="00A00FF0" w:rsidP="00416EFF">
      <w:pPr>
        <w:pBdr>
          <w:top w:val="single" w:sz="4" w:space="1" w:color="auto"/>
          <w:left w:val="single" w:sz="4" w:space="0" w:color="auto"/>
          <w:bottom w:val="single" w:sz="4" w:space="1" w:color="auto"/>
          <w:right w:val="single" w:sz="4" w:space="4" w:color="auto"/>
        </w:pBdr>
        <w:tabs>
          <w:tab w:val="left" w:pos="567"/>
        </w:tabs>
        <w:ind w:left="851" w:right="386" w:hanging="851"/>
        <w:rPr>
          <w:rFonts w:cs="Arial"/>
        </w:rPr>
      </w:pPr>
    </w:p>
    <w:p w14:paraId="74CC2BFB" w14:textId="2B27F03B" w:rsidR="00A00FF0" w:rsidRPr="00765FE7" w:rsidRDefault="00A00FF0" w:rsidP="00416EFF">
      <w:pPr>
        <w:pBdr>
          <w:top w:val="single" w:sz="4" w:space="1" w:color="auto"/>
          <w:left w:val="single" w:sz="4" w:space="0" w:color="auto"/>
          <w:bottom w:val="single" w:sz="4" w:space="1" w:color="auto"/>
          <w:right w:val="single" w:sz="4" w:space="4" w:color="auto"/>
        </w:pBdr>
        <w:tabs>
          <w:tab w:val="left" w:pos="567"/>
        </w:tabs>
        <w:ind w:left="851" w:right="386" w:hanging="851"/>
        <w:rPr>
          <w:rFonts w:cs="Arial"/>
        </w:rPr>
      </w:pPr>
      <w:r w:rsidRPr="00765FE7">
        <w:rPr>
          <w:rFonts w:cs="Arial"/>
        </w:rPr>
        <w:tab/>
        <w:t xml:space="preserve">c) </w:t>
      </w:r>
      <w:r w:rsidR="00E2026C" w:rsidRPr="00765FE7">
        <w:rPr>
          <w:rFonts w:cs="Arial"/>
        </w:rPr>
        <w:t>T</w:t>
      </w:r>
      <w:r w:rsidRPr="00765FE7">
        <w:rPr>
          <w:rFonts w:cs="Arial"/>
        </w:rPr>
        <w:t>he increase in shared ownership rental in accordance with the lease as shown in paragraph</w:t>
      </w:r>
      <w:r w:rsidR="00B9461F" w:rsidRPr="00765FE7">
        <w:rPr>
          <w:rFonts w:cs="Arial"/>
        </w:rPr>
        <w:t xml:space="preserve"> </w:t>
      </w:r>
      <w:r w:rsidR="002F7449">
        <w:rPr>
          <w:rFonts w:cs="Arial"/>
        </w:rPr>
        <w:t>9</w:t>
      </w:r>
      <w:r w:rsidR="004C52C3">
        <w:rPr>
          <w:rFonts w:cs="Arial"/>
        </w:rPr>
        <w:t>3</w:t>
      </w:r>
      <w:r w:rsidR="00765FE7" w:rsidRPr="00765FE7">
        <w:rPr>
          <w:rFonts w:cs="Arial"/>
        </w:rPr>
        <w:t>-</w:t>
      </w:r>
      <w:r w:rsidR="002F7449">
        <w:rPr>
          <w:rFonts w:cs="Arial"/>
        </w:rPr>
        <w:t>9</w:t>
      </w:r>
      <w:r w:rsidR="004C52C3">
        <w:rPr>
          <w:rFonts w:cs="Arial"/>
        </w:rPr>
        <w:t>4</w:t>
      </w:r>
    </w:p>
    <w:p w14:paraId="48A282B1" w14:textId="77777777" w:rsidR="003562E8" w:rsidRPr="00A36C44" w:rsidRDefault="003562E8" w:rsidP="00416EFF">
      <w:pPr>
        <w:pBdr>
          <w:top w:val="single" w:sz="4" w:space="1" w:color="auto"/>
          <w:left w:val="single" w:sz="4" w:space="0" w:color="auto"/>
          <w:bottom w:val="single" w:sz="4" w:space="1" w:color="auto"/>
          <w:right w:val="single" w:sz="4" w:space="4" w:color="auto"/>
        </w:pBdr>
        <w:tabs>
          <w:tab w:val="left" w:pos="567"/>
        </w:tabs>
        <w:ind w:left="851" w:right="386" w:hanging="851"/>
        <w:rPr>
          <w:rFonts w:cs="Arial"/>
        </w:rPr>
      </w:pPr>
    </w:p>
    <w:p w14:paraId="03B720DA" w14:textId="43E54236" w:rsidR="00AC1E36" w:rsidRPr="00A36C44" w:rsidRDefault="00B92EC7" w:rsidP="00416EFF">
      <w:pPr>
        <w:pBdr>
          <w:top w:val="single" w:sz="4" w:space="1" w:color="auto"/>
          <w:left w:val="single" w:sz="4" w:space="0" w:color="auto"/>
          <w:bottom w:val="single" w:sz="4" w:space="1" w:color="auto"/>
          <w:right w:val="single" w:sz="4" w:space="4" w:color="auto"/>
        </w:pBdr>
        <w:tabs>
          <w:tab w:val="left" w:pos="567"/>
          <w:tab w:val="left" w:pos="3048"/>
        </w:tabs>
        <w:ind w:left="851" w:right="386" w:hanging="851"/>
        <w:rPr>
          <w:rFonts w:cs="Arial"/>
        </w:rPr>
      </w:pPr>
      <w:r w:rsidRPr="00A36C44">
        <w:rPr>
          <w:rFonts w:cs="Arial"/>
        </w:rPr>
        <w:tab/>
        <w:t>d</w:t>
      </w:r>
      <w:r w:rsidR="00AC1E36" w:rsidRPr="00A36C44">
        <w:rPr>
          <w:rFonts w:cs="Arial"/>
        </w:rPr>
        <w:t>)</w:t>
      </w:r>
      <w:r w:rsidR="0059228F" w:rsidRPr="00A36C44">
        <w:rPr>
          <w:rFonts w:cs="Arial"/>
        </w:rPr>
        <w:t xml:space="preserve"> </w:t>
      </w:r>
      <w:r w:rsidR="00416EFF" w:rsidRPr="00A36C44">
        <w:rPr>
          <w:rFonts w:cs="Arial"/>
        </w:rPr>
        <w:t xml:space="preserve"> </w:t>
      </w:r>
      <w:r w:rsidR="004C7821" w:rsidRPr="00A36C44">
        <w:rPr>
          <w:rFonts w:cs="Arial"/>
        </w:rPr>
        <w:t>The</w:t>
      </w:r>
      <w:r w:rsidR="00AC1E36" w:rsidRPr="00A36C44">
        <w:rPr>
          <w:rFonts w:cs="Arial"/>
        </w:rPr>
        <w:t xml:space="preserve"> General Fund</w:t>
      </w:r>
      <w:r w:rsidR="00556EE7" w:rsidRPr="00A36C44">
        <w:rPr>
          <w:rFonts w:cs="Arial"/>
        </w:rPr>
        <w:t xml:space="preserve"> </w:t>
      </w:r>
      <w:r w:rsidR="00AC1E36" w:rsidRPr="00A36C44">
        <w:rPr>
          <w:rFonts w:cs="Arial"/>
        </w:rPr>
        <w:t>and Housing Revenue Account Capital Programme as shown i</w:t>
      </w:r>
      <w:r w:rsidR="0059228F" w:rsidRPr="00A36C44">
        <w:rPr>
          <w:rFonts w:cs="Arial"/>
        </w:rPr>
        <w:t>n</w:t>
      </w:r>
      <w:r w:rsidR="00AC1E36" w:rsidRPr="00A36C44">
        <w:rPr>
          <w:rFonts w:cs="Arial"/>
        </w:rPr>
        <w:t xml:space="preserve"> Appendix </w:t>
      </w:r>
      <w:r w:rsidR="00E70508" w:rsidRPr="00A36C44">
        <w:rPr>
          <w:rFonts w:cs="Arial"/>
        </w:rPr>
        <w:t>6</w:t>
      </w:r>
      <w:r w:rsidR="00AC1E36" w:rsidRPr="00A36C44">
        <w:rPr>
          <w:rFonts w:cs="Arial"/>
        </w:rPr>
        <w:t>.</w:t>
      </w:r>
    </w:p>
    <w:p w14:paraId="23740664" w14:textId="77777777" w:rsidR="001005F5" w:rsidRPr="00A36C44" w:rsidRDefault="001005F5" w:rsidP="007B3F5D">
      <w:pPr>
        <w:pBdr>
          <w:top w:val="single" w:sz="4" w:space="1" w:color="auto"/>
          <w:left w:val="single" w:sz="4" w:space="0" w:color="auto"/>
          <w:bottom w:val="single" w:sz="4" w:space="1" w:color="auto"/>
          <w:right w:val="single" w:sz="4" w:space="4" w:color="auto"/>
        </w:pBdr>
        <w:tabs>
          <w:tab w:val="left" w:pos="3048"/>
        </w:tabs>
        <w:ind w:left="709" w:right="386" w:hanging="709"/>
        <w:rPr>
          <w:rFonts w:cs="Arial"/>
        </w:rPr>
      </w:pPr>
    </w:p>
    <w:p w14:paraId="3525F0D6" w14:textId="77777777" w:rsidR="00AB541D" w:rsidRPr="00FB5233" w:rsidRDefault="008E2808" w:rsidP="00A22A47">
      <w:pPr>
        <w:pBdr>
          <w:top w:val="single" w:sz="4" w:space="1" w:color="auto"/>
          <w:left w:val="single" w:sz="4" w:space="0" w:color="auto"/>
          <w:bottom w:val="single" w:sz="4" w:space="1" w:color="auto"/>
          <w:right w:val="single" w:sz="4" w:space="4" w:color="auto"/>
        </w:pBdr>
        <w:tabs>
          <w:tab w:val="left" w:pos="3048"/>
        </w:tabs>
        <w:ind w:left="709" w:right="386" w:hanging="709"/>
        <w:rPr>
          <w:rFonts w:cs="Arial"/>
        </w:rPr>
      </w:pPr>
      <w:r w:rsidRPr="00A36C44">
        <w:rPr>
          <w:rFonts w:cs="Arial"/>
        </w:rPr>
        <w:t xml:space="preserve">2) </w:t>
      </w:r>
      <w:r w:rsidR="00957544" w:rsidRPr="00A36C44">
        <w:rPr>
          <w:rFonts w:cs="Arial"/>
        </w:rPr>
        <w:t xml:space="preserve">   </w:t>
      </w:r>
      <w:r w:rsidRPr="00A36C44">
        <w:rPr>
          <w:rFonts w:cs="Arial"/>
        </w:rPr>
        <w:t>A</w:t>
      </w:r>
      <w:r w:rsidR="00334403" w:rsidRPr="00A36C44">
        <w:rPr>
          <w:rFonts w:cs="Arial"/>
        </w:rPr>
        <w:t>gree the fees and charges shown</w:t>
      </w:r>
      <w:r w:rsidR="00334403" w:rsidRPr="00FB5233">
        <w:rPr>
          <w:rFonts w:cs="Arial"/>
        </w:rPr>
        <w:t xml:space="preserve"> in Appendix </w:t>
      </w:r>
      <w:r w:rsidR="0059228F" w:rsidRPr="00FB5233">
        <w:rPr>
          <w:rFonts w:cs="Arial"/>
        </w:rPr>
        <w:t>7</w:t>
      </w:r>
      <w:r w:rsidR="00334403" w:rsidRPr="00FB5233">
        <w:rPr>
          <w:rFonts w:cs="Arial"/>
        </w:rPr>
        <w:t xml:space="preserve"> </w:t>
      </w:r>
    </w:p>
    <w:p w14:paraId="0B9518AA" w14:textId="77777777" w:rsidR="00526741" w:rsidRPr="00572DC5" w:rsidRDefault="00526741" w:rsidP="00A22A47">
      <w:pPr>
        <w:pBdr>
          <w:top w:val="single" w:sz="4" w:space="1" w:color="auto"/>
          <w:left w:val="single" w:sz="4" w:space="0" w:color="auto"/>
          <w:bottom w:val="single" w:sz="4" w:space="1" w:color="auto"/>
          <w:right w:val="single" w:sz="4" w:space="4" w:color="auto"/>
        </w:pBdr>
        <w:tabs>
          <w:tab w:val="left" w:pos="3048"/>
        </w:tabs>
        <w:ind w:left="709" w:right="386" w:hanging="709"/>
        <w:rPr>
          <w:rFonts w:cs="Arial"/>
          <w:highlight w:val="yellow"/>
        </w:rPr>
      </w:pPr>
    </w:p>
    <w:p w14:paraId="71DFD9D7" w14:textId="5697C164" w:rsidR="00023727" w:rsidRPr="000C7E0A" w:rsidRDefault="00526741" w:rsidP="00526741">
      <w:pPr>
        <w:pBdr>
          <w:top w:val="single" w:sz="4" w:space="1" w:color="auto"/>
          <w:left w:val="single" w:sz="4" w:space="0" w:color="auto"/>
          <w:bottom w:val="single" w:sz="4" w:space="1" w:color="auto"/>
          <w:right w:val="single" w:sz="4" w:space="4" w:color="auto"/>
        </w:pBdr>
        <w:tabs>
          <w:tab w:val="left" w:pos="3048"/>
        </w:tabs>
        <w:ind w:left="426" w:right="386" w:hanging="426"/>
        <w:rPr>
          <w:rFonts w:cs="Arial"/>
        </w:rPr>
      </w:pPr>
      <w:r w:rsidRPr="000C7E0A">
        <w:rPr>
          <w:rFonts w:cs="Arial"/>
        </w:rPr>
        <w:lastRenderedPageBreak/>
        <w:t xml:space="preserve">3)   </w:t>
      </w:r>
      <w:r w:rsidR="0084493A" w:rsidRPr="000C7E0A">
        <w:rPr>
          <w:rFonts w:cs="Arial"/>
        </w:rPr>
        <w:t>Delegate to the Section 151 Officer in consultation with the Board Member for</w:t>
      </w:r>
      <w:r w:rsidR="0084493A" w:rsidRPr="000C7E0A">
        <w:br/>
      </w:r>
      <w:r w:rsidR="0084493A" w:rsidRPr="000C7E0A">
        <w:rPr>
          <w:rFonts w:cs="Arial"/>
        </w:rPr>
        <w:t xml:space="preserve">Finance and Assets the decision to determine whether it is financially advantageous for the Council to enter into a Business Rates Distribution Agreement as referred to in paragraphs </w:t>
      </w:r>
      <w:r w:rsidR="00104315" w:rsidRPr="000C7E0A">
        <w:rPr>
          <w:rFonts w:cs="Arial"/>
        </w:rPr>
        <w:t>2</w:t>
      </w:r>
      <w:r w:rsidR="002F7449">
        <w:rPr>
          <w:rFonts w:cs="Arial"/>
        </w:rPr>
        <w:t>9</w:t>
      </w:r>
      <w:r w:rsidR="00FE7CC9" w:rsidRPr="000C7E0A">
        <w:rPr>
          <w:rFonts w:cs="Arial"/>
        </w:rPr>
        <w:t>-</w:t>
      </w:r>
      <w:r w:rsidR="002F7449">
        <w:rPr>
          <w:rFonts w:cs="Arial"/>
        </w:rPr>
        <w:t>30</w:t>
      </w:r>
      <w:r w:rsidR="0084493A" w:rsidRPr="000C7E0A">
        <w:rPr>
          <w:rFonts w:cs="Arial"/>
        </w:rPr>
        <w:t xml:space="preserve"> </w:t>
      </w:r>
      <w:r w:rsidR="00511CD4" w:rsidRPr="000C7E0A">
        <w:rPr>
          <w:rFonts w:cs="Arial"/>
        </w:rPr>
        <w:t>of the report</w:t>
      </w:r>
      <w:r w:rsidR="0084493A" w:rsidRPr="000C7E0A">
        <w:rPr>
          <w:rFonts w:cs="Arial"/>
        </w:rPr>
        <w:t>.</w:t>
      </w:r>
    </w:p>
    <w:p w14:paraId="3F07F5E7" w14:textId="55FFEC74" w:rsidR="006D6996" w:rsidRPr="00572DC5" w:rsidRDefault="006D6996" w:rsidP="00526741">
      <w:pPr>
        <w:pBdr>
          <w:top w:val="single" w:sz="4" w:space="1" w:color="auto"/>
          <w:left w:val="single" w:sz="4" w:space="0" w:color="auto"/>
          <w:bottom w:val="single" w:sz="4" w:space="1" w:color="auto"/>
          <w:right w:val="single" w:sz="4" w:space="4" w:color="auto"/>
        </w:pBdr>
        <w:tabs>
          <w:tab w:val="left" w:pos="3048"/>
        </w:tabs>
        <w:ind w:left="426" w:right="386" w:hanging="426"/>
        <w:rPr>
          <w:rFonts w:cs="Arial"/>
          <w:highlight w:val="yellow"/>
        </w:rPr>
      </w:pPr>
    </w:p>
    <w:p w14:paraId="4E0BAED9" w14:textId="7066E449" w:rsidR="004C0DAC" w:rsidRPr="00572DC5" w:rsidRDefault="004C0DAC" w:rsidP="00526741">
      <w:pPr>
        <w:pBdr>
          <w:top w:val="single" w:sz="4" w:space="1" w:color="auto"/>
          <w:left w:val="single" w:sz="4" w:space="0" w:color="auto"/>
          <w:bottom w:val="single" w:sz="4" w:space="1" w:color="auto"/>
          <w:right w:val="single" w:sz="4" w:space="4" w:color="auto"/>
        </w:pBdr>
        <w:tabs>
          <w:tab w:val="left" w:pos="3048"/>
        </w:tabs>
        <w:ind w:left="426" w:right="386" w:hanging="426"/>
        <w:rPr>
          <w:rFonts w:cs="Arial"/>
          <w:highlight w:val="yellow"/>
        </w:rPr>
      </w:pPr>
    </w:p>
    <w:p w14:paraId="0B256620" w14:textId="77777777" w:rsidR="00CA595A" w:rsidRPr="00572DC5" w:rsidRDefault="00CA595A" w:rsidP="00942056">
      <w:pPr>
        <w:tabs>
          <w:tab w:val="left" w:pos="567"/>
        </w:tabs>
        <w:ind w:left="567" w:right="386" w:hanging="567"/>
        <w:jc w:val="both"/>
        <w:rPr>
          <w:b/>
          <w:highlight w:val="yellow"/>
        </w:rPr>
      </w:pPr>
    </w:p>
    <w:p w14:paraId="01ED4E1D" w14:textId="77777777" w:rsidR="007A3B37" w:rsidRPr="009A6BE8" w:rsidRDefault="003C3043" w:rsidP="00942056">
      <w:pPr>
        <w:tabs>
          <w:tab w:val="left" w:pos="567"/>
        </w:tabs>
        <w:ind w:left="567" w:right="386" w:hanging="567"/>
        <w:jc w:val="both"/>
        <w:rPr>
          <w:b/>
        </w:rPr>
      </w:pPr>
      <w:r w:rsidRPr="009A6BE8">
        <w:rPr>
          <w:b/>
        </w:rPr>
        <w:t>Appendices to the report</w:t>
      </w:r>
    </w:p>
    <w:p w14:paraId="07DA720D" w14:textId="47243002" w:rsidR="005C72B1" w:rsidRPr="009A6BE8" w:rsidRDefault="005C72B1" w:rsidP="00942056">
      <w:pPr>
        <w:tabs>
          <w:tab w:val="left" w:pos="567"/>
        </w:tabs>
        <w:ind w:left="567" w:right="386" w:hanging="567"/>
        <w:jc w:val="both"/>
      </w:pPr>
      <w:r w:rsidRPr="009A6BE8">
        <w:t xml:space="preserve">Appendix 1 </w:t>
      </w:r>
      <w:r w:rsidRPr="009A6BE8">
        <w:tab/>
        <w:t xml:space="preserve">Summary of </w:t>
      </w:r>
      <w:r w:rsidR="00B43878" w:rsidRPr="009A6BE8">
        <w:t xml:space="preserve">General Fund </w:t>
      </w:r>
      <w:r w:rsidR="00673530" w:rsidRPr="009A6BE8">
        <w:t>Budget by</w:t>
      </w:r>
      <w:r w:rsidRPr="009A6BE8">
        <w:t xml:space="preserve"> Service 20</w:t>
      </w:r>
      <w:r w:rsidR="006B1BD8" w:rsidRPr="009A6BE8">
        <w:t>2</w:t>
      </w:r>
      <w:r w:rsidR="00FB5233" w:rsidRPr="009A6BE8">
        <w:t>6</w:t>
      </w:r>
      <w:r w:rsidRPr="009A6BE8">
        <w:t>-</w:t>
      </w:r>
      <w:r w:rsidR="0084493A" w:rsidRPr="009A6BE8">
        <w:t>2</w:t>
      </w:r>
      <w:r w:rsidR="00FB5233" w:rsidRPr="009A6BE8">
        <w:t>7</w:t>
      </w:r>
      <w:r w:rsidRPr="009A6BE8">
        <w:t xml:space="preserve"> to 20</w:t>
      </w:r>
      <w:r w:rsidR="002C2483" w:rsidRPr="009A6BE8">
        <w:t>2</w:t>
      </w:r>
      <w:r w:rsidR="001C1358" w:rsidRPr="009A6BE8">
        <w:t>9</w:t>
      </w:r>
      <w:r w:rsidRPr="009A6BE8">
        <w:t>-</w:t>
      </w:r>
      <w:r w:rsidR="001C1358" w:rsidRPr="009A6BE8">
        <w:t>30</w:t>
      </w:r>
    </w:p>
    <w:p w14:paraId="62560316" w14:textId="4E0BE63D" w:rsidR="005C72B1" w:rsidRPr="009A6BE8" w:rsidRDefault="005C72B1" w:rsidP="00942056">
      <w:pPr>
        <w:tabs>
          <w:tab w:val="left" w:pos="567"/>
        </w:tabs>
        <w:ind w:left="567" w:right="386" w:hanging="567"/>
        <w:jc w:val="both"/>
      </w:pPr>
      <w:r w:rsidRPr="009A6BE8">
        <w:t xml:space="preserve">Appendix 2 </w:t>
      </w:r>
      <w:r w:rsidR="00B43878" w:rsidRPr="009A6BE8">
        <w:tab/>
      </w:r>
      <w:r w:rsidRPr="009A6BE8">
        <w:t>General Fund Revenue Budget by Service 20</w:t>
      </w:r>
      <w:r w:rsidR="006B1BD8" w:rsidRPr="009A6BE8">
        <w:t>2</w:t>
      </w:r>
      <w:r w:rsidR="001C1358" w:rsidRPr="009A6BE8">
        <w:t>6</w:t>
      </w:r>
      <w:r w:rsidRPr="009A6BE8">
        <w:t>-</w:t>
      </w:r>
      <w:r w:rsidR="0084493A" w:rsidRPr="009A6BE8">
        <w:t>2</w:t>
      </w:r>
      <w:r w:rsidR="001C1358" w:rsidRPr="009A6BE8">
        <w:t>7</w:t>
      </w:r>
      <w:r w:rsidRPr="009A6BE8">
        <w:t xml:space="preserve"> to 20</w:t>
      </w:r>
      <w:r w:rsidR="001C1358" w:rsidRPr="009A6BE8">
        <w:t>29-30</w:t>
      </w:r>
    </w:p>
    <w:p w14:paraId="18C153D4" w14:textId="7E5819C1" w:rsidR="005C72B1" w:rsidRPr="009A6BE8" w:rsidRDefault="005C72B1" w:rsidP="00942056">
      <w:pPr>
        <w:tabs>
          <w:tab w:val="left" w:pos="567"/>
        </w:tabs>
        <w:ind w:left="567" w:right="386" w:hanging="567"/>
        <w:jc w:val="both"/>
      </w:pPr>
      <w:r w:rsidRPr="009A6BE8">
        <w:t xml:space="preserve">Appendix 3 </w:t>
      </w:r>
      <w:r w:rsidRPr="009A6BE8">
        <w:tab/>
        <w:t xml:space="preserve">Detailed </w:t>
      </w:r>
      <w:r w:rsidR="00F918BD" w:rsidRPr="009A6BE8">
        <w:t xml:space="preserve">General Fund </w:t>
      </w:r>
      <w:r w:rsidR="00673090" w:rsidRPr="009A6BE8">
        <w:t xml:space="preserve">and HRA </w:t>
      </w:r>
      <w:r w:rsidRPr="009A6BE8">
        <w:t>Service Budgets 20</w:t>
      </w:r>
      <w:r w:rsidR="006B1BD8" w:rsidRPr="009A6BE8">
        <w:t>2</w:t>
      </w:r>
      <w:r w:rsidR="001C1358" w:rsidRPr="009A6BE8">
        <w:t>6</w:t>
      </w:r>
      <w:r w:rsidRPr="009A6BE8">
        <w:t>-</w:t>
      </w:r>
      <w:r w:rsidR="0084493A" w:rsidRPr="009A6BE8">
        <w:t>2</w:t>
      </w:r>
      <w:r w:rsidR="001C1358" w:rsidRPr="009A6BE8">
        <w:t>7</w:t>
      </w:r>
      <w:r w:rsidR="002C2483" w:rsidRPr="009A6BE8">
        <w:t xml:space="preserve"> </w:t>
      </w:r>
      <w:r w:rsidRPr="009A6BE8">
        <w:t>to 20</w:t>
      </w:r>
      <w:r w:rsidR="002C2483" w:rsidRPr="009A6BE8">
        <w:t>2</w:t>
      </w:r>
      <w:r w:rsidR="001C1358" w:rsidRPr="009A6BE8">
        <w:t>9</w:t>
      </w:r>
      <w:r w:rsidRPr="009A6BE8">
        <w:t>-</w:t>
      </w:r>
      <w:r w:rsidR="001C1358" w:rsidRPr="009A6BE8">
        <w:t>30</w:t>
      </w:r>
    </w:p>
    <w:p w14:paraId="4BB9A556" w14:textId="5832DD63" w:rsidR="00673530" w:rsidRPr="009A6BE8" w:rsidRDefault="005C72B1" w:rsidP="00942056">
      <w:pPr>
        <w:tabs>
          <w:tab w:val="left" w:pos="567"/>
        </w:tabs>
        <w:ind w:left="567" w:right="386" w:hanging="567"/>
        <w:jc w:val="both"/>
      </w:pPr>
      <w:r w:rsidRPr="009A6BE8">
        <w:t xml:space="preserve">Appendix </w:t>
      </w:r>
      <w:r w:rsidR="007E18CF" w:rsidRPr="009A6BE8">
        <w:t>4</w:t>
      </w:r>
      <w:r w:rsidRPr="009A6BE8">
        <w:t xml:space="preserve"> </w:t>
      </w:r>
      <w:r w:rsidRPr="009A6BE8">
        <w:tab/>
        <w:t xml:space="preserve">Housing Revenue Account Budget </w:t>
      </w:r>
      <w:r w:rsidR="00673530" w:rsidRPr="009A6BE8">
        <w:t>20</w:t>
      </w:r>
      <w:r w:rsidR="006B1BD8" w:rsidRPr="009A6BE8">
        <w:t>2</w:t>
      </w:r>
      <w:r w:rsidR="001C1358" w:rsidRPr="009A6BE8">
        <w:t>6</w:t>
      </w:r>
      <w:r w:rsidR="00673530" w:rsidRPr="009A6BE8">
        <w:t>-</w:t>
      </w:r>
      <w:r w:rsidR="0084493A" w:rsidRPr="009A6BE8">
        <w:t>2</w:t>
      </w:r>
      <w:r w:rsidR="001C1358" w:rsidRPr="009A6BE8">
        <w:t>7</w:t>
      </w:r>
      <w:r w:rsidR="00673530" w:rsidRPr="009A6BE8">
        <w:t xml:space="preserve"> to 20</w:t>
      </w:r>
      <w:r w:rsidR="002C2483" w:rsidRPr="009A6BE8">
        <w:t>2</w:t>
      </w:r>
      <w:r w:rsidR="001C1358" w:rsidRPr="009A6BE8">
        <w:t>9</w:t>
      </w:r>
      <w:r w:rsidR="00673530" w:rsidRPr="009A6BE8">
        <w:t>-</w:t>
      </w:r>
      <w:r w:rsidR="001C1358" w:rsidRPr="009A6BE8">
        <w:t>30</w:t>
      </w:r>
    </w:p>
    <w:p w14:paraId="2C08AC5C" w14:textId="77777777" w:rsidR="00865143" w:rsidRPr="009A6BE8" w:rsidRDefault="00B43878" w:rsidP="00942056">
      <w:pPr>
        <w:tabs>
          <w:tab w:val="left" w:pos="567"/>
        </w:tabs>
        <w:ind w:left="567" w:right="386" w:hanging="567"/>
        <w:jc w:val="both"/>
      </w:pPr>
      <w:r w:rsidRPr="009A6BE8">
        <w:t xml:space="preserve">Appendix </w:t>
      </w:r>
      <w:r w:rsidR="007E18CF" w:rsidRPr="009A6BE8">
        <w:t>5</w:t>
      </w:r>
      <w:r w:rsidR="00865143" w:rsidRPr="009A6BE8">
        <w:t xml:space="preserve">  </w:t>
      </w:r>
      <w:r w:rsidR="00F918BD" w:rsidRPr="009A6BE8">
        <w:tab/>
      </w:r>
      <w:r w:rsidR="0041253D" w:rsidRPr="009A6BE8">
        <w:t>Council House Rents By Estate</w:t>
      </w:r>
      <w:r w:rsidR="00865143" w:rsidRPr="009A6BE8">
        <w:t xml:space="preserve"> </w:t>
      </w:r>
    </w:p>
    <w:p w14:paraId="02C01727" w14:textId="18A03D40" w:rsidR="009A6BE8" w:rsidRPr="009A6BE8" w:rsidRDefault="005C72B1" w:rsidP="00942056">
      <w:pPr>
        <w:tabs>
          <w:tab w:val="left" w:pos="567"/>
        </w:tabs>
        <w:ind w:left="567" w:right="386" w:hanging="567"/>
        <w:jc w:val="both"/>
      </w:pPr>
      <w:r w:rsidRPr="009A6BE8">
        <w:t xml:space="preserve">Appendix </w:t>
      </w:r>
      <w:r w:rsidR="007E18CF" w:rsidRPr="009A6BE8">
        <w:t>6</w:t>
      </w:r>
      <w:r w:rsidRPr="009A6BE8">
        <w:t xml:space="preserve"> </w:t>
      </w:r>
      <w:r w:rsidRPr="009A6BE8">
        <w:tab/>
      </w:r>
      <w:r w:rsidR="00F918BD" w:rsidRPr="009A6BE8">
        <w:t xml:space="preserve">General Fund </w:t>
      </w:r>
      <w:r w:rsidR="00AE0441" w:rsidRPr="009A6BE8">
        <w:t xml:space="preserve">and HRA </w:t>
      </w:r>
      <w:r w:rsidRPr="009A6BE8">
        <w:t>Capital Programme 20</w:t>
      </w:r>
      <w:r w:rsidR="006B1BD8" w:rsidRPr="009A6BE8">
        <w:t>2</w:t>
      </w:r>
      <w:r w:rsidR="001C1358" w:rsidRPr="009A6BE8">
        <w:t>6</w:t>
      </w:r>
      <w:r w:rsidRPr="009A6BE8">
        <w:t>-</w:t>
      </w:r>
      <w:r w:rsidR="0084493A" w:rsidRPr="009A6BE8">
        <w:t>2</w:t>
      </w:r>
      <w:r w:rsidR="001C1358" w:rsidRPr="009A6BE8">
        <w:t>7</w:t>
      </w:r>
      <w:r w:rsidRPr="009A6BE8">
        <w:t xml:space="preserve"> to 20</w:t>
      </w:r>
      <w:r w:rsidR="001C1358" w:rsidRPr="009A6BE8">
        <w:t>29</w:t>
      </w:r>
      <w:r w:rsidRPr="009A6BE8">
        <w:t>-</w:t>
      </w:r>
      <w:r w:rsidR="009A6BE8" w:rsidRPr="009A6BE8">
        <w:t>30</w:t>
      </w:r>
    </w:p>
    <w:p w14:paraId="338238E1" w14:textId="6E530A53" w:rsidR="005C72B1" w:rsidRPr="009A6BE8" w:rsidRDefault="005C72B1" w:rsidP="00942056">
      <w:pPr>
        <w:tabs>
          <w:tab w:val="left" w:pos="567"/>
        </w:tabs>
        <w:ind w:left="567" w:right="386" w:hanging="567"/>
        <w:jc w:val="both"/>
      </w:pPr>
      <w:r w:rsidRPr="009A6BE8">
        <w:t xml:space="preserve">Appendix </w:t>
      </w:r>
      <w:r w:rsidR="0041253D" w:rsidRPr="009A6BE8">
        <w:t>7</w:t>
      </w:r>
      <w:r w:rsidR="00AE0441" w:rsidRPr="009A6BE8">
        <w:tab/>
      </w:r>
      <w:r w:rsidRPr="009A6BE8">
        <w:t xml:space="preserve">Fees and charges </w:t>
      </w:r>
    </w:p>
    <w:p w14:paraId="25CCD559" w14:textId="77777777" w:rsidR="005C72B1" w:rsidRPr="009A6BE8" w:rsidRDefault="005C72B1" w:rsidP="00942056">
      <w:pPr>
        <w:tabs>
          <w:tab w:val="left" w:pos="567"/>
        </w:tabs>
        <w:ind w:left="567" w:right="386" w:hanging="567"/>
        <w:jc w:val="both"/>
      </w:pPr>
      <w:r w:rsidRPr="009A6BE8">
        <w:t xml:space="preserve">Appendix </w:t>
      </w:r>
      <w:r w:rsidR="0041253D" w:rsidRPr="009A6BE8">
        <w:t>8</w:t>
      </w:r>
      <w:r w:rsidRPr="009A6BE8">
        <w:tab/>
        <w:t>Risk Register</w:t>
      </w:r>
    </w:p>
    <w:p w14:paraId="3E21875B" w14:textId="77777777" w:rsidR="005C72B1" w:rsidRPr="009A6BE8" w:rsidRDefault="005C72B1" w:rsidP="00942056">
      <w:pPr>
        <w:tabs>
          <w:tab w:val="left" w:pos="567"/>
        </w:tabs>
        <w:ind w:left="567" w:right="386" w:hanging="567"/>
        <w:jc w:val="both"/>
      </w:pPr>
      <w:r w:rsidRPr="009A6BE8">
        <w:t xml:space="preserve">Appendix </w:t>
      </w:r>
      <w:r w:rsidR="0041253D" w:rsidRPr="009A6BE8">
        <w:t>9</w:t>
      </w:r>
      <w:r w:rsidRPr="009A6BE8">
        <w:t xml:space="preserve"> </w:t>
      </w:r>
      <w:r w:rsidR="00B43878" w:rsidRPr="009A6BE8">
        <w:t xml:space="preserve"> </w:t>
      </w:r>
      <w:r w:rsidR="003F4A26" w:rsidRPr="009A6BE8">
        <w:t xml:space="preserve"> </w:t>
      </w:r>
      <w:r w:rsidRPr="009A6BE8">
        <w:t>Equalities Impact Assessment</w:t>
      </w:r>
    </w:p>
    <w:p w14:paraId="351C5F0E" w14:textId="0293B75B" w:rsidR="003562E8" w:rsidRPr="009A6BE8" w:rsidRDefault="003562E8" w:rsidP="00942056">
      <w:pPr>
        <w:tabs>
          <w:tab w:val="left" w:pos="567"/>
        </w:tabs>
        <w:ind w:left="567" w:right="386" w:hanging="567"/>
        <w:jc w:val="both"/>
      </w:pPr>
      <w:r w:rsidRPr="009A6BE8">
        <w:t>Appendix 10 – Properties purchased from OXPlace – EXEMPT FROM PUBLICATION</w:t>
      </w:r>
    </w:p>
    <w:p w14:paraId="2752879A" w14:textId="77777777" w:rsidR="00F4367A" w:rsidRPr="00572DC5" w:rsidRDefault="00F4367A" w:rsidP="007C20F4">
      <w:pPr>
        <w:ind w:right="386" w:firstLine="540"/>
        <w:jc w:val="both"/>
        <w:rPr>
          <w:rFonts w:cs="Arial"/>
          <w:sz w:val="22"/>
          <w:szCs w:val="22"/>
          <w:highlight w:val="yellow"/>
        </w:rPr>
      </w:pPr>
    </w:p>
    <w:p w14:paraId="2428D4BF" w14:textId="77777777" w:rsidR="00713675" w:rsidRPr="00CF280B" w:rsidRDefault="00713675" w:rsidP="00B3306E">
      <w:pPr>
        <w:ind w:right="386"/>
        <w:jc w:val="both"/>
        <w:rPr>
          <w:sz w:val="22"/>
          <w:szCs w:val="22"/>
        </w:rPr>
      </w:pPr>
    </w:p>
    <w:p w14:paraId="4D7666E6" w14:textId="77777777" w:rsidR="00AA26C9" w:rsidRPr="00CF280B" w:rsidRDefault="00AA26C9" w:rsidP="00942056">
      <w:pPr>
        <w:ind w:right="386"/>
        <w:jc w:val="both"/>
        <w:rPr>
          <w:b/>
          <w:sz w:val="28"/>
          <w:szCs w:val="28"/>
        </w:rPr>
      </w:pPr>
      <w:r w:rsidRPr="00CF280B">
        <w:rPr>
          <w:b/>
          <w:sz w:val="28"/>
          <w:szCs w:val="28"/>
        </w:rPr>
        <w:t>Comment from the Portfolio holder</w:t>
      </w:r>
    </w:p>
    <w:p w14:paraId="139E11FF" w14:textId="77777777" w:rsidR="00773BBA" w:rsidRDefault="00773BBA" w:rsidP="00942056">
      <w:pPr>
        <w:ind w:right="386"/>
        <w:jc w:val="both"/>
        <w:rPr>
          <w:b/>
          <w:sz w:val="28"/>
          <w:szCs w:val="28"/>
          <w:highlight w:val="yellow"/>
        </w:rPr>
      </w:pPr>
    </w:p>
    <w:p w14:paraId="7AD4CE96" w14:textId="77777777" w:rsidR="00547DC6" w:rsidRPr="00DB0ECB" w:rsidRDefault="00547DC6" w:rsidP="00547DC6">
      <w:pPr>
        <w:spacing w:before="100" w:beforeAutospacing="1" w:after="100" w:afterAutospacing="1"/>
        <w:rPr>
          <w:rFonts w:cs="Arial"/>
          <w:i/>
          <w:iCs/>
          <w:color w:val="000000"/>
          <w:lang w:eastAsia="en-GB"/>
        </w:rPr>
      </w:pPr>
      <w:r w:rsidRPr="00DB0ECB">
        <w:rPr>
          <w:rFonts w:cs="Arial"/>
          <w:i/>
          <w:iCs/>
          <w:color w:val="000000"/>
          <w:lang w:eastAsia="en-GB"/>
        </w:rPr>
        <w:t>It is both a challenging and uncertain time for local authorities, including Oxford City Council. We face substantial pressures on services, in line with previous budgets but with Oxford’s housing crisis, in particular, adding huge pressure. The government has announced it will reorganise local government, and there are three competing proposals for Oxfordshire. In addition, long-delayed reforms to local government finance are to be introduced from next year, and we await details of how these will affect Oxford City Council.</w:t>
      </w:r>
    </w:p>
    <w:p w14:paraId="51063F89" w14:textId="3EB73DE0" w:rsidR="00547DC6" w:rsidRPr="00DB0ECB" w:rsidRDefault="00547DC6" w:rsidP="00547DC6">
      <w:pPr>
        <w:spacing w:before="100" w:beforeAutospacing="1" w:after="100" w:afterAutospacing="1"/>
        <w:rPr>
          <w:rFonts w:cs="Arial"/>
          <w:i/>
          <w:iCs/>
          <w:color w:val="000000"/>
          <w:lang w:eastAsia="en-GB"/>
        </w:rPr>
      </w:pPr>
      <w:r w:rsidRPr="00DB0ECB">
        <w:rPr>
          <w:rFonts w:cs="Arial"/>
          <w:i/>
          <w:iCs/>
          <w:color w:val="000000"/>
          <w:lang w:eastAsia="en-GB"/>
        </w:rPr>
        <w:t>In proposing this consultation budget, we recognise these circumstances, while nonetheless trying to improve services, and continuing to prioritise areas about which we care greatly, such as building new, genuinely affordable housing, narrowing the gap between rich and poo</w:t>
      </w:r>
      <w:r w:rsidR="001356A4">
        <w:rPr>
          <w:rFonts w:cs="Arial"/>
          <w:i/>
          <w:iCs/>
          <w:color w:val="000000"/>
          <w:lang w:eastAsia="en-GB"/>
        </w:rPr>
        <w:t>r</w:t>
      </w:r>
      <w:r w:rsidRPr="00DB0ECB">
        <w:rPr>
          <w:rFonts w:cs="Arial"/>
          <w:i/>
          <w:iCs/>
          <w:color w:val="000000"/>
          <w:lang w:eastAsia="en-GB"/>
        </w:rPr>
        <w:t xml:space="preserve"> and supporting community organisations. Amongst the important features of this budget are:</w:t>
      </w:r>
    </w:p>
    <w:p w14:paraId="77C04C19" w14:textId="5F1887CD" w:rsidR="00547DC6" w:rsidRPr="00DB0ECB" w:rsidRDefault="00547DC6" w:rsidP="000C3DE7">
      <w:pPr>
        <w:pStyle w:val="ListParagraph"/>
        <w:numPr>
          <w:ilvl w:val="0"/>
          <w:numId w:val="57"/>
        </w:numPr>
        <w:spacing w:before="100" w:beforeAutospacing="1" w:after="100" w:afterAutospacing="1"/>
        <w:ind w:left="709" w:hanging="283"/>
        <w:rPr>
          <w:rFonts w:cs="Arial"/>
          <w:i/>
          <w:iCs/>
          <w:color w:val="000000"/>
          <w:lang w:eastAsia="en-GB"/>
        </w:rPr>
      </w:pPr>
      <w:r w:rsidRPr="00DB0ECB">
        <w:rPr>
          <w:rFonts w:cs="Arial"/>
          <w:i/>
          <w:iCs/>
          <w:color w:val="000000"/>
          <w:lang w:eastAsia="en-GB"/>
        </w:rPr>
        <w:t>Funding for 1,</w:t>
      </w:r>
      <w:r w:rsidR="00814A6C" w:rsidRPr="00DB0ECB">
        <w:rPr>
          <w:rFonts w:cs="Arial"/>
          <w:i/>
          <w:iCs/>
          <w:color w:val="000000"/>
          <w:lang w:eastAsia="en-GB"/>
        </w:rPr>
        <w:t>692</w:t>
      </w:r>
      <w:r w:rsidRPr="00DB0ECB">
        <w:rPr>
          <w:rFonts w:cs="Arial"/>
          <w:i/>
          <w:iCs/>
          <w:color w:val="000000"/>
          <w:lang w:eastAsia="en-GB"/>
        </w:rPr>
        <w:t xml:space="preserve"> new council homes delivered directly or through our wholly owned housing company OxPlace</w:t>
      </w:r>
    </w:p>
    <w:p w14:paraId="2734596A" w14:textId="47B84FDD" w:rsidR="00547DC6" w:rsidRPr="00DB0ECB" w:rsidRDefault="00547DC6" w:rsidP="000C3DE7">
      <w:pPr>
        <w:pStyle w:val="ListParagraph"/>
        <w:numPr>
          <w:ilvl w:val="0"/>
          <w:numId w:val="57"/>
        </w:numPr>
        <w:spacing w:before="100" w:beforeAutospacing="1" w:after="100" w:afterAutospacing="1"/>
        <w:ind w:left="709" w:hanging="283"/>
        <w:rPr>
          <w:rFonts w:cs="Arial"/>
          <w:i/>
          <w:iCs/>
          <w:color w:val="000000"/>
          <w:lang w:eastAsia="en-GB"/>
        </w:rPr>
      </w:pPr>
      <w:r w:rsidRPr="00DB0ECB">
        <w:rPr>
          <w:rFonts w:cs="Arial"/>
          <w:i/>
          <w:iCs/>
          <w:color w:val="000000"/>
          <w:lang w:eastAsia="en-GB"/>
        </w:rPr>
        <w:t>Continued support for the “Oxford Model”, which is projected to deliver over £12 million in dividends from wholly-owned companies</w:t>
      </w:r>
    </w:p>
    <w:p w14:paraId="1E56F494" w14:textId="6012A780" w:rsidR="00547DC6" w:rsidRPr="00DB0ECB" w:rsidRDefault="00547DC6" w:rsidP="004C138E">
      <w:pPr>
        <w:pStyle w:val="ListParagraph"/>
        <w:numPr>
          <w:ilvl w:val="0"/>
          <w:numId w:val="57"/>
        </w:numPr>
        <w:spacing w:before="100" w:beforeAutospacing="1" w:after="100" w:afterAutospacing="1"/>
        <w:ind w:left="709" w:hanging="283"/>
        <w:rPr>
          <w:rFonts w:cs="Arial"/>
          <w:i/>
          <w:iCs/>
          <w:color w:val="000000"/>
          <w:lang w:eastAsia="en-GB"/>
        </w:rPr>
      </w:pPr>
      <w:r w:rsidRPr="00DB0ECB">
        <w:rPr>
          <w:rFonts w:cs="Arial"/>
          <w:i/>
          <w:iCs/>
          <w:color w:val="000000"/>
          <w:lang w:eastAsia="en-GB"/>
        </w:rPr>
        <w:t>Backing for the Oxford Living Wage for staff and contractors</w:t>
      </w:r>
    </w:p>
    <w:p w14:paraId="08F186AB" w14:textId="3FC52795" w:rsidR="00547DC6" w:rsidRPr="00DB0ECB" w:rsidRDefault="00547DC6" w:rsidP="004C138E">
      <w:pPr>
        <w:pStyle w:val="ListParagraph"/>
        <w:numPr>
          <w:ilvl w:val="0"/>
          <w:numId w:val="57"/>
        </w:numPr>
        <w:spacing w:before="100" w:beforeAutospacing="1" w:after="100" w:afterAutospacing="1"/>
        <w:ind w:left="709" w:hanging="349"/>
        <w:rPr>
          <w:rFonts w:cs="Arial"/>
          <w:i/>
          <w:iCs/>
          <w:color w:val="000000"/>
          <w:lang w:eastAsia="en-GB"/>
        </w:rPr>
      </w:pPr>
      <w:r w:rsidRPr="00DB0ECB">
        <w:rPr>
          <w:rFonts w:cs="Arial"/>
          <w:i/>
          <w:iCs/>
          <w:color w:val="000000"/>
          <w:lang w:eastAsia="en-GB"/>
        </w:rPr>
        <w:t>Improvement in services, including longer opening of Hinksey Pool, recruitment of new community response officers to improve safety and tackle anti-social behaviour, and reintroduction of a creche at Blackbird Leys Pool and funding for cricket nets on Blackbird Leys.</w:t>
      </w:r>
    </w:p>
    <w:p w14:paraId="34C80ABD" w14:textId="34F897A9" w:rsidR="00547DC6" w:rsidRPr="00DB0ECB" w:rsidRDefault="00547DC6" w:rsidP="004C138E">
      <w:pPr>
        <w:pStyle w:val="ListParagraph"/>
        <w:numPr>
          <w:ilvl w:val="0"/>
          <w:numId w:val="57"/>
        </w:numPr>
        <w:spacing w:before="100" w:beforeAutospacing="1" w:after="100" w:afterAutospacing="1"/>
        <w:ind w:left="709" w:hanging="349"/>
        <w:rPr>
          <w:rFonts w:cs="Arial"/>
          <w:i/>
          <w:iCs/>
          <w:color w:val="000000"/>
          <w:lang w:eastAsia="en-GB"/>
        </w:rPr>
      </w:pPr>
      <w:r w:rsidRPr="00DB0ECB">
        <w:rPr>
          <w:rFonts w:cs="Arial"/>
          <w:i/>
          <w:iCs/>
          <w:color w:val="000000"/>
          <w:lang w:eastAsia="en-GB"/>
        </w:rPr>
        <w:t>Provision of £1 million to renew the roof of Oxford Ice Rink.</w:t>
      </w:r>
    </w:p>
    <w:p w14:paraId="7950CC79" w14:textId="6CBA2BF8" w:rsidR="00547DC6" w:rsidRPr="00DB0ECB" w:rsidRDefault="00547DC6" w:rsidP="004C138E">
      <w:pPr>
        <w:pStyle w:val="ListParagraph"/>
        <w:numPr>
          <w:ilvl w:val="0"/>
          <w:numId w:val="57"/>
        </w:numPr>
        <w:spacing w:before="100" w:beforeAutospacing="1" w:after="100" w:afterAutospacing="1"/>
        <w:ind w:left="709" w:hanging="349"/>
        <w:rPr>
          <w:rFonts w:cs="Arial"/>
          <w:i/>
          <w:iCs/>
          <w:color w:val="000000"/>
          <w:lang w:eastAsia="en-GB"/>
        </w:rPr>
      </w:pPr>
      <w:r w:rsidRPr="00DB0ECB">
        <w:rPr>
          <w:rFonts w:cs="Arial"/>
          <w:i/>
          <w:iCs/>
          <w:color w:val="000000"/>
          <w:lang w:eastAsia="en-GB"/>
        </w:rPr>
        <w:t>Mobilisation of government funding for Cowley Branch Line and use of funds from development to ensure the process is properly managed.</w:t>
      </w:r>
    </w:p>
    <w:p w14:paraId="2BC139AA" w14:textId="67559586" w:rsidR="00547DC6" w:rsidRPr="00DB0ECB" w:rsidRDefault="00547DC6" w:rsidP="004C138E">
      <w:pPr>
        <w:pStyle w:val="ListParagraph"/>
        <w:numPr>
          <w:ilvl w:val="0"/>
          <w:numId w:val="57"/>
        </w:numPr>
        <w:spacing w:before="100" w:beforeAutospacing="1" w:after="100" w:afterAutospacing="1"/>
        <w:ind w:left="709" w:hanging="349"/>
        <w:rPr>
          <w:rFonts w:cs="Arial"/>
          <w:i/>
          <w:iCs/>
          <w:color w:val="000000"/>
          <w:lang w:eastAsia="en-GB"/>
        </w:rPr>
      </w:pPr>
      <w:r w:rsidRPr="00DB0ECB">
        <w:rPr>
          <w:rFonts w:cs="Arial"/>
          <w:i/>
          <w:iCs/>
          <w:color w:val="000000"/>
          <w:lang w:eastAsia="en-GB"/>
        </w:rPr>
        <w:t>Continuation of full council tax reduction for those on the lowest incomes.</w:t>
      </w:r>
    </w:p>
    <w:p w14:paraId="2ECE0467" w14:textId="77777777" w:rsidR="00547DC6" w:rsidRPr="00DB0ECB" w:rsidRDefault="00547DC6" w:rsidP="00547DC6">
      <w:pPr>
        <w:spacing w:before="100" w:beforeAutospacing="1" w:after="100" w:afterAutospacing="1"/>
        <w:rPr>
          <w:rFonts w:cs="Arial"/>
          <w:i/>
          <w:iCs/>
          <w:color w:val="000000"/>
          <w:lang w:eastAsia="en-GB"/>
        </w:rPr>
      </w:pPr>
      <w:r w:rsidRPr="00DB0ECB">
        <w:rPr>
          <w:rFonts w:cs="Arial"/>
          <w:i/>
          <w:iCs/>
          <w:color w:val="000000"/>
          <w:lang w:eastAsia="en-GB"/>
        </w:rPr>
        <w:lastRenderedPageBreak/>
        <w:t>There are other areas in which we would like to invest, but we will await publication of the funding settlement and address those once we know our position for next year.</w:t>
      </w:r>
    </w:p>
    <w:p w14:paraId="308BAE7F" w14:textId="77777777" w:rsidR="00547DC6" w:rsidRPr="00DB0ECB" w:rsidRDefault="00547DC6" w:rsidP="00547DC6">
      <w:pPr>
        <w:spacing w:before="100" w:beforeAutospacing="1" w:after="100" w:afterAutospacing="1"/>
        <w:rPr>
          <w:rFonts w:cs="Arial"/>
          <w:i/>
          <w:iCs/>
          <w:color w:val="000000"/>
          <w:lang w:eastAsia="en-GB"/>
        </w:rPr>
      </w:pPr>
      <w:r w:rsidRPr="00DB0ECB">
        <w:rPr>
          <w:rFonts w:cs="Arial"/>
          <w:i/>
          <w:iCs/>
          <w:color w:val="000000"/>
          <w:lang w:eastAsia="en-GB"/>
        </w:rPr>
        <w:t>We face a major challenge in the provision of temporary accommodation for homeless households. As a result, we are setting aside £32 million to help purchase 260 properties which can help those who become homeless, and reduce the need to use costly, unsuitable hotels accommodation.</w:t>
      </w:r>
    </w:p>
    <w:p w14:paraId="79B2181F" w14:textId="77777777" w:rsidR="00547DC6" w:rsidRPr="00DB0ECB" w:rsidRDefault="00547DC6" w:rsidP="00547DC6">
      <w:pPr>
        <w:spacing w:before="100" w:beforeAutospacing="1" w:after="100" w:afterAutospacing="1"/>
        <w:rPr>
          <w:rFonts w:cs="Arial"/>
          <w:i/>
          <w:iCs/>
          <w:color w:val="000000"/>
          <w:lang w:eastAsia="en-GB"/>
        </w:rPr>
      </w:pPr>
      <w:r w:rsidRPr="00DB0ECB">
        <w:rPr>
          <w:rFonts w:cs="Arial"/>
          <w:i/>
          <w:iCs/>
          <w:color w:val="000000"/>
          <w:lang w:eastAsia="en-GB"/>
        </w:rPr>
        <w:t>As ever, producing a budget involves difficult choices. Under our proposals, council tax and some other charges will go up by a modest amount, so that we do not have to lose some of our most important amenities, such as community and leisure centres, as is happening in other parts of the country. We also propose selling some council property, and invite views on whether we should sell the Lord Mayor’s number plate, so that this money can be reinvested in services. We will welcome feedback from members of the public as part of our budget consultation.</w:t>
      </w:r>
    </w:p>
    <w:p w14:paraId="29B537A9" w14:textId="77777777" w:rsidR="00B3306E" w:rsidRPr="008B498F" w:rsidRDefault="00B3306E" w:rsidP="00942056">
      <w:pPr>
        <w:ind w:right="386"/>
        <w:jc w:val="both"/>
        <w:rPr>
          <w:b/>
          <w:sz w:val="22"/>
          <w:szCs w:val="22"/>
        </w:rPr>
      </w:pPr>
      <w:r w:rsidRPr="008B498F">
        <w:rPr>
          <w:b/>
          <w:sz w:val="22"/>
          <w:szCs w:val="22"/>
        </w:rPr>
        <w:t>INTRODUCTION</w:t>
      </w:r>
    </w:p>
    <w:p w14:paraId="28251DD2" w14:textId="77777777" w:rsidR="00B3306E" w:rsidRPr="008B498F" w:rsidRDefault="00B3306E" w:rsidP="007C20F4">
      <w:pPr>
        <w:ind w:right="386" w:firstLine="540"/>
        <w:jc w:val="both"/>
        <w:rPr>
          <w:b/>
          <w:sz w:val="22"/>
          <w:szCs w:val="22"/>
        </w:rPr>
      </w:pPr>
    </w:p>
    <w:p w14:paraId="32F5C972" w14:textId="215CBA93" w:rsidR="007A7044" w:rsidRPr="00742C1F" w:rsidRDefault="00CC1EE8" w:rsidP="00712800">
      <w:pPr>
        <w:pStyle w:val="ListParagraph"/>
        <w:numPr>
          <w:ilvl w:val="0"/>
          <w:numId w:val="8"/>
        </w:numPr>
        <w:ind w:right="386" w:hanging="720"/>
        <w:rPr>
          <w:rFonts w:cs="Arial"/>
        </w:rPr>
      </w:pPr>
      <w:r w:rsidRPr="008B498F">
        <w:rPr>
          <w:rFonts w:cs="Arial"/>
        </w:rPr>
        <w:t>This report sets out the Council</w:t>
      </w:r>
      <w:r w:rsidR="00CD3973" w:rsidRPr="008B498F">
        <w:rPr>
          <w:rFonts w:cs="Arial"/>
        </w:rPr>
        <w:t>’</w:t>
      </w:r>
      <w:r w:rsidRPr="008B498F">
        <w:rPr>
          <w:rFonts w:cs="Arial"/>
        </w:rPr>
        <w:t xml:space="preserve">s </w:t>
      </w:r>
      <w:r w:rsidR="00507287" w:rsidRPr="008B498F">
        <w:rPr>
          <w:rFonts w:cs="Arial"/>
        </w:rPr>
        <w:t>Medi</w:t>
      </w:r>
      <w:r w:rsidR="00603CCF" w:rsidRPr="008B498F">
        <w:rPr>
          <w:rFonts w:cs="Arial"/>
        </w:rPr>
        <w:t>um Term Financial Strategy (MTFS</w:t>
      </w:r>
      <w:r w:rsidR="00507287" w:rsidRPr="008B498F">
        <w:rPr>
          <w:rFonts w:cs="Arial"/>
        </w:rPr>
        <w:t xml:space="preserve">) </w:t>
      </w:r>
      <w:r w:rsidR="007A432D" w:rsidRPr="008B498F">
        <w:rPr>
          <w:rFonts w:cs="Arial"/>
        </w:rPr>
        <w:t xml:space="preserve">and associated </w:t>
      </w:r>
      <w:r w:rsidRPr="008B498F">
        <w:rPr>
          <w:rFonts w:cs="Arial"/>
        </w:rPr>
        <w:t xml:space="preserve">spending plans for the four years </w:t>
      </w:r>
      <w:r w:rsidR="00507287" w:rsidRPr="008B498F">
        <w:rPr>
          <w:rFonts w:cs="Arial"/>
        </w:rPr>
        <w:t>20</w:t>
      </w:r>
      <w:r w:rsidR="006B1BD8" w:rsidRPr="008B498F">
        <w:rPr>
          <w:rFonts w:cs="Arial"/>
        </w:rPr>
        <w:t>2</w:t>
      </w:r>
      <w:r w:rsidR="009A6BE8" w:rsidRPr="008B498F">
        <w:rPr>
          <w:rFonts w:cs="Arial"/>
        </w:rPr>
        <w:t>6</w:t>
      </w:r>
      <w:r w:rsidR="00507287" w:rsidRPr="008B498F">
        <w:rPr>
          <w:rFonts w:cs="Arial"/>
        </w:rPr>
        <w:t>/</w:t>
      </w:r>
      <w:r w:rsidR="0084493A" w:rsidRPr="008B498F">
        <w:rPr>
          <w:rFonts w:cs="Arial"/>
        </w:rPr>
        <w:t>2</w:t>
      </w:r>
      <w:r w:rsidR="009A6BE8" w:rsidRPr="008B498F">
        <w:rPr>
          <w:rFonts w:cs="Arial"/>
        </w:rPr>
        <w:t>7</w:t>
      </w:r>
      <w:r w:rsidR="00507287" w:rsidRPr="008B498F">
        <w:rPr>
          <w:rFonts w:cs="Arial"/>
        </w:rPr>
        <w:t xml:space="preserve"> to 20</w:t>
      </w:r>
      <w:r w:rsidR="002C2483" w:rsidRPr="008B498F">
        <w:rPr>
          <w:rFonts w:cs="Arial"/>
        </w:rPr>
        <w:t>2</w:t>
      </w:r>
      <w:r w:rsidR="009A6BE8" w:rsidRPr="008B498F">
        <w:rPr>
          <w:rFonts w:cs="Arial"/>
        </w:rPr>
        <w:t>9</w:t>
      </w:r>
      <w:r w:rsidR="00507287" w:rsidRPr="008B498F">
        <w:rPr>
          <w:rFonts w:cs="Arial"/>
        </w:rPr>
        <w:t>/</w:t>
      </w:r>
      <w:r w:rsidR="009A6BE8" w:rsidRPr="008B498F">
        <w:rPr>
          <w:rFonts w:cs="Arial"/>
        </w:rPr>
        <w:t>30</w:t>
      </w:r>
      <w:r w:rsidR="00507287" w:rsidRPr="008B498F">
        <w:rPr>
          <w:rFonts w:cs="Arial"/>
        </w:rPr>
        <w:t xml:space="preserve"> </w:t>
      </w:r>
      <w:r w:rsidRPr="008B498F">
        <w:rPr>
          <w:rFonts w:cs="Arial"/>
        </w:rPr>
        <w:t xml:space="preserve">and gives interested parties the opportunity to comment and be consulted </w:t>
      </w:r>
      <w:r w:rsidR="00CD3973" w:rsidRPr="008B498F">
        <w:rPr>
          <w:rFonts w:cs="Arial"/>
        </w:rPr>
        <w:t>on</w:t>
      </w:r>
      <w:r w:rsidRPr="008B498F">
        <w:rPr>
          <w:rFonts w:cs="Arial"/>
        </w:rPr>
        <w:t xml:space="preserve"> the Council</w:t>
      </w:r>
      <w:r w:rsidR="00CD3973" w:rsidRPr="008B498F">
        <w:rPr>
          <w:rFonts w:cs="Arial"/>
        </w:rPr>
        <w:t>’</w:t>
      </w:r>
      <w:r w:rsidRPr="008B498F">
        <w:rPr>
          <w:rFonts w:cs="Arial"/>
        </w:rPr>
        <w:t xml:space="preserve">s budget </w:t>
      </w:r>
      <w:r w:rsidR="00CD3973" w:rsidRPr="008B498F">
        <w:rPr>
          <w:rFonts w:cs="Arial"/>
        </w:rPr>
        <w:t xml:space="preserve">proposals </w:t>
      </w:r>
      <w:r w:rsidRPr="008B498F">
        <w:rPr>
          <w:rFonts w:cs="Arial"/>
        </w:rPr>
        <w:t xml:space="preserve">for the financial year </w:t>
      </w:r>
      <w:r w:rsidR="00CD3973" w:rsidRPr="008B498F">
        <w:rPr>
          <w:rFonts w:cs="Arial"/>
        </w:rPr>
        <w:t>(</w:t>
      </w:r>
      <w:r w:rsidRPr="008B498F">
        <w:rPr>
          <w:rFonts w:cs="Arial"/>
        </w:rPr>
        <w:t>20</w:t>
      </w:r>
      <w:r w:rsidR="006B1BD8" w:rsidRPr="008B498F">
        <w:rPr>
          <w:rFonts w:cs="Arial"/>
        </w:rPr>
        <w:t>2</w:t>
      </w:r>
      <w:r w:rsidR="008B498F" w:rsidRPr="008B498F">
        <w:rPr>
          <w:rFonts w:cs="Arial"/>
        </w:rPr>
        <w:t>6</w:t>
      </w:r>
      <w:r w:rsidRPr="008B498F">
        <w:rPr>
          <w:rFonts w:cs="Arial"/>
        </w:rPr>
        <w:t>/</w:t>
      </w:r>
      <w:r w:rsidR="0084493A" w:rsidRPr="008B498F">
        <w:rPr>
          <w:rFonts w:cs="Arial"/>
        </w:rPr>
        <w:t>2</w:t>
      </w:r>
      <w:r w:rsidR="008B498F" w:rsidRPr="008B498F">
        <w:rPr>
          <w:rFonts w:cs="Arial"/>
        </w:rPr>
        <w:t>7</w:t>
      </w:r>
      <w:r w:rsidR="00CD3973" w:rsidRPr="008B498F">
        <w:rPr>
          <w:rFonts w:cs="Arial"/>
        </w:rPr>
        <w:t>)</w:t>
      </w:r>
      <w:r w:rsidRPr="008B498F">
        <w:rPr>
          <w:rFonts w:cs="Arial"/>
        </w:rPr>
        <w:t>. The report covers all aspects of the Council</w:t>
      </w:r>
      <w:r w:rsidR="00CD3973" w:rsidRPr="008B498F">
        <w:rPr>
          <w:rFonts w:cs="Arial"/>
        </w:rPr>
        <w:t>’</w:t>
      </w:r>
      <w:r w:rsidRPr="008B498F">
        <w:rPr>
          <w:rFonts w:cs="Arial"/>
        </w:rPr>
        <w:t>s spend</w:t>
      </w:r>
      <w:r w:rsidR="00CD3973" w:rsidRPr="008B498F">
        <w:rPr>
          <w:rFonts w:cs="Arial"/>
        </w:rPr>
        <w:t>:</w:t>
      </w:r>
      <w:r w:rsidRPr="008B498F">
        <w:rPr>
          <w:rFonts w:cs="Arial"/>
        </w:rPr>
        <w:t xml:space="preserve"> General Fund </w:t>
      </w:r>
      <w:r w:rsidR="005C72B1" w:rsidRPr="008B498F">
        <w:rPr>
          <w:rFonts w:cs="Arial"/>
        </w:rPr>
        <w:t>r</w:t>
      </w:r>
      <w:r w:rsidRPr="008B498F">
        <w:rPr>
          <w:rFonts w:cs="Arial"/>
        </w:rPr>
        <w:t xml:space="preserve">evenue expenditure funded by the council </w:t>
      </w:r>
      <w:r w:rsidR="2B757CE7" w:rsidRPr="008B498F">
        <w:rPr>
          <w:rFonts w:cs="Arial"/>
        </w:rPr>
        <w:t>taxpayer</w:t>
      </w:r>
      <w:r w:rsidR="003F6421" w:rsidRPr="008B498F">
        <w:rPr>
          <w:rFonts w:cs="Arial"/>
        </w:rPr>
        <w:t>, government grant and other sources of income</w:t>
      </w:r>
      <w:r w:rsidRPr="008B498F">
        <w:rPr>
          <w:rFonts w:cs="Arial"/>
        </w:rPr>
        <w:t>, Housing Revenue Account</w:t>
      </w:r>
      <w:r w:rsidR="00CD3973" w:rsidRPr="008B498F">
        <w:rPr>
          <w:rFonts w:cs="Arial"/>
        </w:rPr>
        <w:t xml:space="preserve"> </w:t>
      </w:r>
      <w:r w:rsidR="003F6421" w:rsidRPr="008B498F">
        <w:rPr>
          <w:rFonts w:cs="Arial"/>
        </w:rPr>
        <w:t xml:space="preserve">(HRA) </w:t>
      </w:r>
      <w:r w:rsidR="00AA73D4" w:rsidRPr="008B498F">
        <w:rPr>
          <w:rFonts w:cs="Arial"/>
        </w:rPr>
        <w:t>expenditure</w:t>
      </w:r>
      <w:r w:rsidRPr="008B498F">
        <w:rPr>
          <w:rFonts w:cs="Arial"/>
        </w:rPr>
        <w:t>, funded by council tenants</w:t>
      </w:r>
      <w:r w:rsidR="003F6421" w:rsidRPr="008B498F">
        <w:rPr>
          <w:rFonts w:cs="Arial"/>
        </w:rPr>
        <w:t xml:space="preserve">’ </w:t>
      </w:r>
      <w:r w:rsidR="003F6421" w:rsidRPr="00742C1F">
        <w:rPr>
          <w:rFonts w:cs="Arial"/>
        </w:rPr>
        <w:t>rents,</w:t>
      </w:r>
      <w:r w:rsidRPr="00742C1F">
        <w:rPr>
          <w:rFonts w:cs="Arial"/>
        </w:rPr>
        <w:t xml:space="preserve"> and the Council</w:t>
      </w:r>
      <w:r w:rsidR="00CD3973" w:rsidRPr="00742C1F">
        <w:rPr>
          <w:rFonts w:cs="Arial"/>
        </w:rPr>
        <w:t>’</w:t>
      </w:r>
      <w:r w:rsidRPr="00742C1F">
        <w:rPr>
          <w:rFonts w:cs="Arial"/>
        </w:rPr>
        <w:t>s Capital Programme</w:t>
      </w:r>
      <w:r w:rsidR="003F6421" w:rsidRPr="00742C1F">
        <w:rPr>
          <w:rFonts w:cs="Arial"/>
        </w:rPr>
        <w:t>s (General Fund and HRA)</w:t>
      </w:r>
      <w:r w:rsidR="00C52DEE" w:rsidRPr="00742C1F">
        <w:rPr>
          <w:rFonts w:cs="Arial"/>
        </w:rPr>
        <w:t xml:space="preserve"> funded by capital r</w:t>
      </w:r>
      <w:r w:rsidRPr="00742C1F">
        <w:rPr>
          <w:rFonts w:cs="Arial"/>
        </w:rPr>
        <w:t>eceipts, revenue and borrowing.</w:t>
      </w:r>
    </w:p>
    <w:p w14:paraId="1A3DF12F" w14:textId="77777777" w:rsidR="00367883" w:rsidRPr="00742C1F" w:rsidRDefault="00367883" w:rsidP="00B80EBF">
      <w:pPr>
        <w:tabs>
          <w:tab w:val="num" w:pos="567"/>
        </w:tabs>
        <w:ind w:left="567" w:right="386" w:hanging="567"/>
        <w:rPr>
          <w:rFonts w:cs="Arial"/>
        </w:rPr>
      </w:pPr>
    </w:p>
    <w:p w14:paraId="555A5896" w14:textId="77777777" w:rsidR="00367883" w:rsidRPr="009F72D1" w:rsidRDefault="00367883" w:rsidP="00712800">
      <w:pPr>
        <w:pStyle w:val="ListParagraph"/>
        <w:numPr>
          <w:ilvl w:val="0"/>
          <w:numId w:val="8"/>
        </w:numPr>
        <w:ind w:right="386" w:hanging="720"/>
        <w:rPr>
          <w:rFonts w:cs="Arial"/>
        </w:rPr>
      </w:pPr>
      <w:r w:rsidRPr="00742C1F">
        <w:rPr>
          <w:rFonts w:cs="Arial"/>
        </w:rPr>
        <w:t xml:space="preserve">The </w:t>
      </w:r>
      <w:r w:rsidRPr="009F72D1">
        <w:rPr>
          <w:rFonts w:cs="Arial"/>
        </w:rPr>
        <w:t>propos</w:t>
      </w:r>
      <w:r w:rsidR="00017EC1" w:rsidRPr="009F72D1">
        <w:rPr>
          <w:rFonts w:cs="Arial"/>
        </w:rPr>
        <w:t>ed</w:t>
      </w:r>
      <w:r w:rsidRPr="009F72D1">
        <w:rPr>
          <w:rFonts w:cs="Arial"/>
        </w:rPr>
        <w:t xml:space="preserve"> M</w:t>
      </w:r>
      <w:r w:rsidR="000D4044" w:rsidRPr="009F72D1">
        <w:rPr>
          <w:rFonts w:cs="Arial"/>
        </w:rPr>
        <w:t xml:space="preserve">edium </w:t>
      </w:r>
      <w:r w:rsidRPr="009F72D1">
        <w:rPr>
          <w:rFonts w:cs="Arial"/>
        </w:rPr>
        <w:t>T</w:t>
      </w:r>
      <w:r w:rsidR="000D4044" w:rsidRPr="009F72D1">
        <w:rPr>
          <w:rFonts w:cs="Arial"/>
        </w:rPr>
        <w:t xml:space="preserve">erm </w:t>
      </w:r>
      <w:r w:rsidRPr="009F72D1">
        <w:rPr>
          <w:rFonts w:cs="Arial"/>
        </w:rPr>
        <w:t>F</w:t>
      </w:r>
      <w:r w:rsidR="000D4044" w:rsidRPr="009F72D1">
        <w:rPr>
          <w:rFonts w:cs="Arial"/>
        </w:rPr>
        <w:t xml:space="preserve">inancial </w:t>
      </w:r>
      <w:r w:rsidRPr="009F72D1">
        <w:rPr>
          <w:rFonts w:cs="Arial"/>
        </w:rPr>
        <w:t>S</w:t>
      </w:r>
      <w:r w:rsidR="000D4044" w:rsidRPr="009F72D1">
        <w:rPr>
          <w:rFonts w:cs="Arial"/>
        </w:rPr>
        <w:t>trategy</w:t>
      </w:r>
      <w:r w:rsidRPr="009F72D1">
        <w:rPr>
          <w:rFonts w:cs="Arial"/>
        </w:rPr>
        <w:t>:</w:t>
      </w:r>
    </w:p>
    <w:p w14:paraId="06055B65" w14:textId="77777777" w:rsidR="00367883" w:rsidRPr="009F72D1" w:rsidRDefault="00367883" w:rsidP="00416EFF">
      <w:pPr>
        <w:pStyle w:val="ListParagraph"/>
        <w:tabs>
          <w:tab w:val="num" w:pos="567"/>
        </w:tabs>
        <w:ind w:left="567" w:firstLine="142"/>
        <w:rPr>
          <w:rFonts w:cs="Arial"/>
        </w:rPr>
      </w:pPr>
    </w:p>
    <w:p w14:paraId="168FF08F" w14:textId="33FA19DF" w:rsidR="00367883" w:rsidRPr="009F72D1" w:rsidRDefault="00367883" w:rsidP="00712800">
      <w:pPr>
        <w:pStyle w:val="ListParagraph"/>
        <w:numPr>
          <w:ilvl w:val="0"/>
          <w:numId w:val="2"/>
        </w:numPr>
        <w:ind w:left="1134" w:hanging="425"/>
        <w:rPr>
          <w:rFonts w:cs="Arial"/>
        </w:rPr>
      </w:pPr>
      <w:r w:rsidRPr="009F72D1">
        <w:rPr>
          <w:rFonts w:cs="Arial"/>
        </w:rPr>
        <w:t xml:space="preserve">Is financially </w:t>
      </w:r>
      <w:r w:rsidR="00770AB9" w:rsidRPr="009F72D1">
        <w:rPr>
          <w:rFonts w:cs="Arial"/>
        </w:rPr>
        <w:t xml:space="preserve">balanced over the </w:t>
      </w:r>
      <w:r w:rsidR="00344269" w:rsidRPr="009F72D1">
        <w:rPr>
          <w:rFonts w:cs="Arial"/>
        </w:rPr>
        <w:t>four-year</w:t>
      </w:r>
      <w:r w:rsidR="00770AB9" w:rsidRPr="009F72D1">
        <w:rPr>
          <w:rFonts w:cs="Arial"/>
        </w:rPr>
        <w:t xml:space="preserve"> period with the use of </w:t>
      </w:r>
      <w:r w:rsidR="00B813AA" w:rsidRPr="009F72D1">
        <w:rPr>
          <w:rFonts w:cs="Arial"/>
        </w:rPr>
        <w:t xml:space="preserve">a net </w:t>
      </w:r>
      <w:r w:rsidR="00770AB9" w:rsidRPr="009F72D1">
        <w:rPr>
          <w:rFonts w:cs="Arial"/>
        </w:rPr>
        <w:t>£</w:t>
      </w:r>
      <w:r w:rsidR="009F72D1" w:rsidRPr="009F72D1">
        <w:rPr>
          <w:rFonts w:cs="Arial"/>
        </w:rPr>
        <w:t>8</w:t>
      </w:r>
      <w:r w:rsidR="000416F1" w:rsidRPr="009F72D1">
        <w:rPr>
          <w:rFonts w:cs="Arial"/>
        </w:rPr>
        <w:t xml:space="preserve"> </w:t>
      </w:r>
      <w:r w:rsidR="00770AB9" w:rsidRPr="009F72D1">
        <w:rPr>
          <w:rFonts w:cs="Arial"/>
        </w:rPr>
        <w:t xml:space="preserve">million of reserves. </w:t>
      </w:r>
    </w:p>
    <w:p w14:paraId="0DC6EC44" w14:textId="44E06409" w:rsidR="00367883" w:rsidRPr="00742C1F" w:rsidRDefault="000D4044" w:rsidP="00712800">
      <w:pPr>
        <w:pStyle w:val="ListParagraph"/>
        <w:numPr>
          <w:ilvl w:val="0"/>
          <w:numId w:val="2"/>
        </w:numPr>
        <w:tabs>
          <w:tab w:val="num" w:pos="1134"/>
        </w:tabs>
        <w:ind w:left="1134" w:hanging="425"/>
        <w:rPr>
          <w:rFonts w:cs="Arial"/>
        </w:rPr>
      </w:pPr>
      <w:r w:rsidRPr="009F72D1">
        <w:rPr>
          <w:rFonts w:cs="Arial"/>
        </w:rPr>
        <w:t>A</w:t>
      </w:r>
      <w:r w:rsidR="006D3F6B" w:rsidRPr="009F72D1">
        <w:rPr>
          <w:rFonts w:cs="Arial"/>
        </w:rPr>
        <w:t>ssumes</w:t>
      </w:r>
      <w:r w:rsidRPr="009F72D1">
        <w:rPr>
          <w:rFonts w:cs="Arial"/>
        </w:rPr>
        <w:t xml:space="preserve"> </w:t>
      </w:r>
      <w:r w:rsidR="003E3387" w:rsidRPr="009F72D1">
        <w:rPr>
          <w:rFonts w:cs="Arial"/>
        </w:rPr>
        <w:t>a council tax increase</w:t>
      </w:r>
      <w:r w:rsidR="003E3387" w:rsidRPr="00742C1F">
        <w:rPr>
          <w:rFonts w:cs="Arial"/>
        </w:rPr>
        <w:t xml:space="preserve"> of </w:t>
      </w:r>
      <w:r w:rsidR="004D7F12" w:rsidRPr="00742C1F">
        <w:rPr>
          <w:rFonts w:cs="Arial"/>
        </w:rPr>
        <w:t>2</w:t>
      </w:r>
      <w:r w:rsidR="164CEAA6" w:rsidRPr="00742C1F">
        <w:rPr>
          <w:rFonts w:cs="Arial"/>
        </w:rPr>
        <w:t>.99% for 2</w:t>
      </w:r>
      <w:r w:rsidR="0B3C450B" w:rsidRPr="00742C1F">
        <w:rPr>
          <w:rFonts w:cs="Arial"/>
        </w:rPr>
        <w:t>02</w:t>
      </w:r>
      <w:r w:rsidR="003C4EC2" w:rsidRPr="00742C1F">
        <w:rPr>
          <w:rFonts w:cs="Arial"/>
        </w:rPr>
        <w:t>6</w:t>
      </w:r>
      <w:r w:rsidR="164CEAA6" w:rsidRPr="00742C1F">
        <w:rPr>
          <w:rFonts w:cs="Arial"/>
        </w:rPr>
        <w:t>-</w:t>
      </w:r>
      <w:r w:rsidR="0E6FC893" w:rsidRPr="00742C1F">
        <w:rPr>
          <w:rFonts w:cs="Arial"/>
        </w:rPr>
        <w:t>2</w:t>
      </w:r>
      <w:r w:rsidR="003C4EC2" w:rsidRPr="00742C1F">
        <w:rPr>
          <w:rFonts w:cs="Arial"/>
        </w:rPr>
        <w:t>7</w:t>
      </w:r>
      <w:r w:rsidR="000416F1" w:rsidRPr="00742C1F">
        <w:rPr>
          <w:rFonts w:cs="Arial"/>
        </w:rPr>
        <w:t xml:space="preserve"> </w:t>
      </w:r>
      <w:r w:rsidR="00274328" w:rsidRPr="00742C1F">
        <w:rPr>
          <w:rFonts w:cs="Arial"/>
        </w:rPr>
        <w:t xml:space="preserve">and </w:t>
      </w:r>
      <w:r w:rsidR="003C4EC2" w:rsidRPr="00742C1F">
        <w:rPr>
          <w:rFonts w:cs="Arial"/>
        </w:rPr>
        <w:t>thereafter</w:t>
      </w:r>
      <w:r w:rsidR="00274328" w:rsidRPr="00742C1F">
        <w:rPr>
          <w:rFonts w:cs="Arial"/>
        </w:rPr>
        <w:t xml:space="preserve">. </w:t>
      </w:r>
    </w:p>
    <w:p w14:paraId="2D1538A1" w14:textId="7A583D10" w:rsidR="65FE2624" w:rsidRPr="00C968F2" w:rsidRDefault="65FE2624" w:rsidP="00712800">
      <w:pPr>
        <w:pStyle w:val="ListParagraph"/>
        <w:numPr>
          <w:ilvl w:val="0"/>
          <w:numId w:val="2"/>
        </w:numPr>
        <w:tabs>
          <w:tab w:val="num" w:pos="1134"/>
        </w:tabs>
        <w:ind w:left="1134" w:hanging="425"/>
        <w:rPr>
          <w:rFonts w:cs="Arial"/>
        </w:rPr>
      </w:pPr>
      <w:r w:rsidRPr="00742C1F">
        <w:rPr>
          <w:rFonts w:cs="Arial"/>
        </w:rPr>
        <w:t>Assumes dividends from our wholly owned companies over the</w:t>
      </w:r>
      <w:r w:rsidR="006C2443" w:rsidRPr="00742C1F">
        <w:rPr>
          <w:rFonts w:cs="Arial"/>
        </w:rPr>
        <w:t xml:space="preserve"> four-year</w:t>
      </w:r>
      <w:r w:rsidRPr="00742C1F">
        <w:rPr>
          <w:rFonts w:cs="Arial"/>
        </w:rPr>
        <w:t xml:space="preserve"> </w:t>
      </w:r>
      <w:r w:rsidRPr="00C968F2">
        <w:rPr>
          <w:rFonts w:cs="Arial"/>
        </w:rPr>
        <w:t xml:space="preserve">period of around </w:t>
      </w:r>
      <w:r w:rsidR="054EA4B0" w:rsidRPr="00C968F2">
        <w:rPr>
          <w:rFonts w:cs="Arial"/>
        </w:rPr>
        <w:t>£</w:t>
      </w:r>
      <w:r w:rsidR="03D57E85" w:rsidRPr="00C968F2">
        <w:rPr>
          <w:rFonts w:cs="Arial"/>
        </w:rPr>
        <w:t>1</w:t>
      </w:r>
      <w:r w:rsidR="00742C1F" w:rsidRPr="00C968F2">
        <w:rPr>
          <w:rFonts w:cs="Arial"/>
        </w:rPr>
        <w:t>2.6</w:t>
      </w:r>
      <w:r w:rsidR="054EA4B0" w:rsidRPr="00C968F2">
        <w:rPr>
          <w:rFonts w:cs="Arial"/>
        </w:rPr>
        <w:t xml:space="preserve"> </w:t>
      </w:r>
      <w:r w:rsidR="00344269" w:rsidRPr="00C968F2">
        <w:rPr>
          <w:rFonts w:cs="Arial"/>
        </w:rPr>
        <w:t>million.</w:t>
      </w:r>
    </w:p>
    <w:p w14:paraId="236293E5" w14:textId="40AAC35B" w:rsidR="00A041EC" w:rsidRPr="0014096C" w:rsidRDefault="00A041EC" w:rsidP="00712800">
      <w:pPr>
        <w:pStyle w:val="ListParagraph"/>
        <w:numPr>
          <w:ilvl w:val="0"/>
          <w:numId w:val="2"/>
        </w:numPr>
        <w:tabs>
          <w:tab w:val="num" w:pos="1134"/>
        </w:tabs>
        <w:ind w:left="1134" w:hanging="567"/>
        <w:rPr>
          <w:rFonts w:cs="Arial"/>
        </w:rPr>
      </w:pPr>
      <w:r w:rsidRPr="0014096C">
        <w:rPr>
          <w:rFonts w:cs="Arial"/>
        </w:rPr>
        <w:t xml:space="preserve">Assumes an increase in council house rents of </w:t>
      </w:r>
      <w:r w:rsidR="009F72D1" w:rsidRPr="0014096C">
        <w:rPr>
          <w:rFonts w:cs="Arial"/>
        </w:rPr>
        <w:t>4</w:t>
      </w:r>
      <w:r w:rsidR="000416F1" w:rsidRPr="0014096C">
        <w:rPr>
          <w:rFonts w:cs="Arial"/>
        </w:rPr>
        <w:t>.</w:t>
      </w:r>
      <w:r w:rsidR="009F72D1" w:rsidRPr="0014096C">
        <w:rPr>
          <w:rFonts w:cs="Arial"/>
        </w:rPr>
        <w:t>8</w:t>
      </w:r>
      <w:r w:rsidR="00B5133C" w:rsidRPr="0014096C">
        <w:rPr>
          <w:rFonts w:cs="Arial"/>
        </w:rPr>
        <w:t>%</w:t>
      </w:r>
      <w:r w:rsidRPr="0014096C">
        <w:rPr>
          <w:rFonts w:cs="Arial"/>
        </w:rPr>
        <w:t xml:space="preserve"> in 202</w:t>
      </w:r>
      <w:r w:rsidR="009F72D1" w:rsidRPr="0014096C">
        <w:rPr>
          <w:rFonts w:cs="Arial"/>
        </w:rPr>
        <w:t>6</w:t>
      </w:r>
      <w:r w:rsidRPr="0014096C">
        <w:rPr>
          <w:rFonts w:cs="Arial"/>
        </w:rPr>
        <w:t>-2</w:t>
      </w:r>
      <w:r w:rsidR="009F72D1" w:rsidRPr="0014096C">
        <w:rPr>
          <w:rFonts w:cs="Arial"/>
        </w:rPr>
        <w:t>7</w:t>
      </w:r>
      <w:r w:rsidR="000416F1" w:rsidRPr="0014096C">
        <w:rPr>
          <w:rFonts w:cs="Arial"/>
        </w:rPr>
        <w:t xml:space="preserve"> </w:t>
      </w:r>
      <w:r w:rsidR="004434F4" w:rsidRPr="0014096C">
        <w:rPr>
          <w:rFonts w:cs="Arial"/>
        </w:rPr>
        <w:t>to an average of £1</w:t>
      </w:r>
      <w:r w:rsidR="00C968F2" w:rsidRPr="0014096C">
        <w:rPr>
          <w:rFonts w:cs="Arial"/>
        </w:rPr>
        <w:t>43</w:t>
      </w:r>
      <w:r w:rsidR="00A70FBB" w:rsidRPr="0014096C">
        <w:rPr>
          <w:rFonts w:cs="Arial"/>
        </w:rPr>
        <w:t>.</w:t>
      </w:r>
      <w:r w:rsidR="00C968F2" w:rsidRPr="0014096C">
        <w:rPr>
          <w:rFonts w:cs="Arial"/>
        </w:rPr>
        <w:t>40</w:t>
      </w:r>
      <w:r w:rsidR="000416F1" w:rsidRPr="0014096C">
        <w:rPr>
          <w:rFonts w:cs="Arial"/>
        </w:rPr>
        <w:t xml:space="preserve"> </w:t>
      </w:r>
      <w:r w:rsidR="004434F4" w:rsidRPr="0014096C">
        <w:rPr>
          <w:rFonts w:cs="Arial"/>
        </w:rPr>
        <w:t>per week</w:t>
      </w:r>
      <w:r w:rsidR="33C1318B" w:rsidRPr="0014096C">
        <w:rPr>
          <w:rFonts w:cs="Arial"/>
        </w:rPr>
        <w:t>.</w:t>
      </w:r>
    </w:p>
    <w:p w14:paraId="2BFA9D9C" w14:textId="1B260A3E" w:rsidR="007B2D91" w:rsidRPr="0014096C" w:rsidRDefault="7048AD01" w:rsidP="00712800">
      <w:pPr>
        <w:pStyle w:val="ListParagraph"/>
        <w:numPr>
          <w:ilvl w:val="0"/>
          <w:numId w:val="2"/>
        </w:numPr>
        <w:tabs>
          <w:tab w:val="num" w:pos="1134"/>
        </w:tabs>
        <w:ind w:left="1134" w:hanging="567"/>
        <w:rPr>
          <w:rFonts w:cs="Arial"/>
        </w:rPr>
      </w:pPr>
      <w:r w:rsidRPr="0014096C">
        <w:rPr>
          <w:rFonts w:cs="Arial"/>
        </w:rPr>
        <w:t xml:space="preserve">Assumes </w:t>
      </w:r>
      <w:r w:rsidR="00B72687">
        <w:rPr>
          <w:rFonts w:cs="Arial"/>
        </w:rPr>
        <w:t xml:space="preserve">1,200 </w:t>
      </w:r>
      <w:r w:rsidRPr="0014096C">
        <w:rPr>
          <w:rFonts w:cs="Arial"/>
        </w:rPr>
        <w:t>new build dwellings by the council</w:t>
      </w:r>
      <w:r w:rsidR="006C2443" w:rsidRPr="0014096C">
        <w:rPr>
          <w:rFonts w:cs="Arial"/>
        </w:rPr>
        <w:t>’</w:t>
      </w:r>
      <w:r w:rsidRPr="0014096C">
        <w:rPr>
          <w:rFonts w:cs="Arial"/>
        </w:rPr>
        <w:t xml:space="preserve">s wholly owned Housing development company OXPlace of dwellings over the life of the </w:t>
      </w:r>
      <w:r w:rsidR="00F211E9" w:rsidRPr="0014096C">
        <w:rPr>
          <w:rFonts w:cs="Arial"/>
        </w:rPr>
        <w:t>8</w:t>
      </w:r>
      <w:r w:rsidR="00344269" w:rsidRPr="0014096C">
        <w:rPr>
          <w:rFonts w:cs="Arial"/>
        </w:rPr>
        <w:t>-year</w:t>
      </w:r>
      <w:r w:rsidR="37020B31" w:rsidRPr="0014096C">
        <w:rPr>
          <w:rFonts w:cs="Arial"/>
        </w:rPr>
        <w:t xml:space="preserve"> </w:t>
      </w:r>
      <w:r w:rsidRPr="0014096C">
        <w:rPr>
          <w:rFonts w:cs="Arial"/>
        </w:rPr>
        <w:t>development programme,</w:t>
      </w:r>
      <w:r w:rsidR="009B0567" w:rsidRPr="0014096C">
        <w:rPr>
          <w:rFonts w:cs="Arial"/>
        </w:rPr>
        <w:t xml:space="preserve"> in addition to </w:t>
      </w:r>
      <w:r w:rsidR="00E075B1">
        <w:rPr>
          <w:rFonts w:cs="Arial"/>
        </w:rPr>
        <w:t xml:space="preserve">100 </w:t>
      </w:r>
      <w:r w:rsidR="005F78A0">
        <w:rPr>
          <w:rFonts w:cs="Arial"/>
        </w:rPr>
        <w:t>acquisitions by the HRA</w:t>
      </w:r>
      <w:r w:rsidRPr="0014096C">
        <w:rPr>
          <w:rFonts w:cs="Arial"/>
        </w:rPr>
        <w:t xml:space="preserve">.  </w:t>
      </w:r>
    </w:p>
    <w:p w14:paraId="03E5D2C1" w14:textId="2946667D" w:rsidR="00245C11" w:rsidRPr="00773BBA" w:rsidRDefault="001837DB" w:rsidP="00712800">
      <w:pPr>
        <w:pStyle w:val="ListParagraph"/>
        <w:numPr>
          <w:ilvl w:val="0"/>
          <w:numId w:val="2"/>
        </w:numPr>
        <w:tabs>
          <w:tab w:val="num" w:pos="1134"/>
        </w:tabs>
        <w:ind w:left="1134" w:hanging="567"/>
        <w:rPr>
          <w:rFonts w:cs="Arial"/>
        </w:rPr>
      </w:pPr>
      <w:r w:rsidRPr="0014096C">
        <w:rPr>
          <w:rFonts w:cs="Arial"/>
        </w:rPr>
        <w:t>F</w:t>
      </w:r>
      <w:r w:rsidR="009829F6" w:rsidRPr="0014096C">
        <w:rPr>
          <w:rFonts w:cs="Arial"/>
        </w:rPr>
        <w:t xml:space="preserve">acilitates </w:t>
      </w:r>
      <w:r w:rsidR="00367883" w:rsidRPr="0014096C">
        <w:rPr>
          <w:rFonts w:cs="Arial"/>
        </w:rPr>
        <w:t>capital investment o</w:t>
      </w:r>
      <w:r w:rsidR="00AC1E36" w:rsidRPr="0014096C">
        <w:rPr>
          <w:rFonts w:cs="Arial"/>
        </w:rPr>
        <w:t>f</w:t>
      </w:r>
      <w:r w:rsidR="00367883" w:rsidRPr="0014096C">
        <w:rPr>
          <w:rFonts w:cs="Arial"/>
        </w:rPr>
        <w:t xml:space="preserve"> £</w:t>
      </w:r>
      <w:r w:rsidR="003E33FA" w:rsidRPr="0014096C">
        <w:rPr>
          <w:rFonts w:cs="Arial"/>
        </w:rPr>
        <w:t>725</w:t>
      </w:r>
      <w:r w:rsidR="00C33670" w:rsidRPr="0014096C">
        <w:rPr>
          <w:rFonts w:cs="Arial"/>
        </w:rPr>
        <w:t xml:space="preserve"> million</w:t>
      </w:r>
      <w:r w:rsidR="00367883" w:rsidRPr="0014096C">
        <w:rPr>
          <w:rFonts w:cs="Arial"/>
        </w:rPr>
        <w:t xml:space="preserve"> </w:t>
      </w:r>
      <w:r w:rsidR="00C33670" w:rsidRPr="0014096C">
        <w:rPr>
          <w:rFonts w:cs="Arial"/>
        </w:rPr>
        <w:t xml:space="preserve">over the </w:t>
      </w:r>
      <w:r w:rsidR="0006697E" w:rsidRPr="0014096C">
        <w:rPr>
          <w:rFonts w:cs="Arial"/>
        </w:rPr>
        <w:t xml:space="preserve">next </w:t>
      </w:r>
      <w:r w:rsidR="62725032" w:rsidRPr="0014096C">
        <w:rPr>
          <w:rFonts w:cs="Arial"/>
        </w:rPr>
        <w:t>f</w:t>
      </w:r>
      <w:r w:rsidR="003E33FA" w:rsidRPr="0014096C">
        <w:rPr>
          <w:rFonts w:cs="Arial"/>
        </w:rPr>
        <w:t>our</w:t>
      </w:r>
      <w:r w:rsidR="62725032" w:rsidRPr="00773BBA">
        <w:rPr>
          <w:rFonts w:cs="Arial"/>
        </w:rPr>
        <w:t>-year</w:t>
      </w:r>
      <w:r w:rsidR="00C33670" w:rsidRPr="00773BBA">
        <w:rPr>
          <w:rFonts w:cs="Arial"/>
        </w:rPr>
        <w:t xml:space="preserve"> period</w:t>
      </w:r>
      <w:r w:rsidR="008841D4" w:rsidRPr="00773BBA">
        <w:rPr>
          <w:rFonts w:cs="Arial"/>
        </w:rPr>
        <w:t>.</w:t>
      </w:r>
      <w:r w:rsidR="00C33670" w:rsidRPr="00773BBA">
        <w:rPr>
          <w:rFonts w:cs="Arial"/>
        </w:rPr>
        <w:t xml:space="preserve"> </w:t>
      </w:r>
    </w:p>
    <w:p w14:paraId="27FBEA13" w14:textId="77777777" w:rsidR="008841D4" w:rsidRPr="00773BBA" w:rsidRDefault="008841D4" w:rsidP="008841D4">
      <w:pPr>
        <w:pStyle w:val="ListParagraph"/>
        <w:ind w:left="1134"/>
        <w:rPr>
          <w:rFonts w:cs="Arial"/>
        </w:rPr>
      </w:pPr>
    </w:p>
    <w:p w14:paraId="22D2D882" w14:textId="2EB1C98D" w:rsidR="00E51BBC" w:rsidRPr="008B498F" w:rsidRDefault="00CC1EE8" w:rsidP="00712800">
      <w:pPr>
        <w:pStyle w:val="ListParagraph"/>
        <w:numPr>
          <w:ilvl w:val="0"/>
          <w:numId w:val="8"/>
        </w:numPr>
        <w:ind w:right="386" w:hanging="720"/>
        <w:rPr>
          <w:rFonts w:cs="Arial"/>
        </w:rPr>
      </w:pPr>
      <w:r w:rsidRPr="008B498F">
        <w:rPr>
          <w:rFonts w:cs="Arial"/>
        </w:rPr>
        <w:t xml:space="preserve">For ease of </w:t>
      </w:r>
      <w:r w:rsidR="00344269" w:rsidRPr="008B498F">
        <w:rPr>
          <w:rFonts w:cs="Arial"/>
        </w:rPr>
        <w:t>reading,</w:t>
      </w:r>
      <w:r w:rsidRPr="008B498F">
        <w:rPr>
          <w:rFonts w:cs="Arial"/>
        </w:rPr>
        <w:t xml:space="preserve"> the report is split into four </w:t>
      </w:r>
      <w:r w:rsidR="0D9DCD4F" w:rsidRPr="008B498F">
        <w:rPr>
          <w:rFonts w:cs="Arial"/>
        </w:rPr>
        <w:t>sections:</w:t>
      </w:r>
    </w:p>
    <w:p w14:paraId="0DC8B504" w14:textId="77777777" w:rsidR="00427B24" w:rsidRPr="008B498F" w:rsidRDefault="00427B24" w:rsidP="00B80EBF">
      <w:pPr>
        <w:tabs>
          <w:tab w:val="num" w:pos="567"/>
        </w:tabs>
        <w:ind w:left="567" w:right="386"/>
        <w:rPr>
          <w:rFonts w:cs="Arial"/>
        </w:rPr>
      </w:pPr>
    </w:p>
    <w:p w14:paraId="67D5205C" w14:textId="4CA1EE4A" w:rsidR="00E51BBC" w:rsidRPr="008B498F" w:rsidRDefault="00427B24" w:rsidP="00416EFF">
      <w:pPr>
        <w:ind w:left="709" w:right="386" w:hanging="567"/>
        <w:rPr>
          <w:rFonts w:cs="Arial"/>
          <w:b/>
        </w:rPr>
      </w:pPr>
      <w:r w:rsidRPr="008B498F">
        <w:rPr>
          <w:rFonts w:cs="Arial"/>
        </w:rPr>
        <w:tab/>
      </w:r>
      <w:r w:rsidR="00C37005" w:rsidRPr="008B498F">
        <w:rPr>
          <w:rFonts w:cs="Arial"/>
          <w:b/>
        </w:rPr>
        <w:t xml:space="preserve">Section </w:t>
      </w:r>
      <w:r w:rsidR="008E5CE0" w:rsidRPr="008B498F">
        <w:rPr>
          <w:rFonts w:cs="Arial"/>
          <w:b/>
        </w:rPr>
        <w:t>A</w:t>
      </w:r>
      <w:r w:rsidR="00C37005" w:rsidRPr="008B498F">
        <w:rPr>
          <w:rFonts w:cs="Arial"/>
          <w:b/>
        </w:rPr>
        <w:t xml:space="preserve"> Economic context, our priorities and budget setting strategy</w:t>
      </w:r>
    </w:p>
    <w:p w14:paraId="76475551" w14:textId="77777777" w:rsidR="00E51BBC" w:rsidRPr="008B498F" w:rsidRDefault="00A06FF7" w:rsidP="00416EFF">
      <w:pPr>
        <w:ind w:left="709" w:right="386" w:hanging="567"/>
        <w:rPr>
          <w:rFonts w:cs="Arial"/>
          <w:b/>
        </w:rPr>
      </w:pPr>
      <w:r w:rsidRPr="008B498F">
        <w:rPr>
          <w:rFonts w:cs="Arial"/>
          <w:b/>
        </w:rPr>
        <w:tab/>
      </w:r>
      <w:r w:rsidR="00E51BBC" w:rsidRPr="008B498F">
        <w:rPr>
          <w:rFonts w:cs="Arial"/>
          <w:b/>
        </w:rPr>
        <w:t>Section B General Fund Revenue Budget</w:t>
      </w:r>
    </w:p>
    <w:p w14:paraId="29A0F3D9" w14:textId="77777777" w:rsidR="00E51BBC" w:rsidRPr="008B498F" w:rsidRDefault="00A06FF7" w:rsidP="00416EFF">
      <w:pPr>
        <w:ind w:left="709" w:right="386" w:hanging="567"/>
        <w:rPr>
          <w:rFonts w:cs="Arial"/>
          <w:b/>
        </w:rPr>
      </w:pPr>
      <w:r w:rsidRPr="008B498F">
        <w:rPr>
          <w:rFonts w:cs="Arial"/>
          <w:b/>
        </w:rPr>
        <w:tab/>
      </w:r>
      <w:r w:rsidR="00E51BBC" w:rsidRPr="008B498F">
        <w:rPr>
          <w:rFonts w:cs="Arial"/>
          <w:b/>
        </w:rPr>
        <w:t>Section C</w:t>
      </w:r>
      <w:r w:rsidR="004C07CE" w:rsidRPr="008B498F">
        <w:rPr>
          <w:rFonts w:cs="Arial"/>
          <w:b/>
        </w:rPr>
        <w:t xml:space="preserve"> Housing Revenue A</w:t>
      </w:r>
      <w:r w:rsidR="00E51BBC" w:rsidRPr="008B498F">
        <w:rPr>
          <w:rFonts w:cs="Arial"/>
          <w:b/>
        </w:rPr>
        <w:t>ccount (HRA) Budget</w:t>
      </w:r>
    </w:p>
    <w:p w14:paraId="1EB78335" w14:textId="77777777" w:rsidR="00E51BBC" w:rsidRPr="008B498F" w:rsidRDefault="004B50C0" w:rsidP="00416EFF">
      <w:pPr>
        <w:ind w:left="709" w:right="386" w:hanging="567"/>
        <w:rPr>
          <w:rFonts w:cs="Arial"/>
          <w:b/>
        </w:rPr>
      </w:pPr>
      <w:r w:rsidRPr="008B498F">
        <w:rPr>
          <w:rFonts w:cs="Arial"/>
          <w:b/>
        </w:rPr>
        <w:tab/>
      </w:r>
      <w:r w:rsidR="00E51BBC" w:rsidRPr="008B498F">
        <w:rPr>
          <w:rFonts w:cs="Arial"/>
          <w:b/>
        </w:rPr>
        <w:t xml:space="preserve">Section D Capital </w:t>
      </w:r>
      <w:r w:rsidR="005C72B1" w:rsidRPr="008B498F">
        <w:rPr>
          <w:rFonts w:cs="Arial"/>
          <w:b/>
        </w:rPr>
        <w:t>Programme</w:t>
      </w:r>
    </w:p>
    <w:p w14:paraId="013144A6" w14:textId="77777777" w:rsidR="00FE6AC6" w:rsidRPr="008B498F" w:rsidRDefault="00FE6AC6" w:rsidP="00416EFF">
      <w:pPr>
        <w:tabs>
          <w:tab w:val="num" w:pos="567"/>
          <w:tab w:val="num" w:pos="709"/>
        </w:tabs>
        <w:ind w:left="567" w:right="386" w:hanging="567"/>
        <w:rPr>
          <w:rFonts w:cs="Arial"/>
          <w:b/>
        </w:rPr>
      </w:pPr>
    </w:p>
    <w:p w14:paraId="5A235737" w14:textId="4940A54B" w:rsidR="001718F2" w:rsidRPr="008B498F" w:rsidRDefault="00E51BBC" w:rsidP="008E6156">
      <w:pPr>
        <w:ind w:right="386" w:firstLine="709"/>
        <w:rPr>
          <w:rFonts w:cs="Arial"/>
          <w:b/>
        </w:rPr>
      </w:pPr>
      <w:r w:rsidRPr="008B498F">
        <w:rPr>
          <w:rFonts w:cs="Arial"/>
          <w:b/>
        </w:rPr>
        <w:t xml:space="preserve">Section </w:t>
      </w:r>
      <w:r w:rsidR="008E5CE0" w:rsidRPr="008B498F">
        <w:rPr>
          <w:rFonts w:cs="Arial"/>
          <w:b/>
        </w:rPr>
        <w:t>A -</w:t>
      </w:r>
      <w:r w:rsidRPr="008B498F">
        <w:rPr>
          <w:rFonts w:cs="Arial"/>
          <w:b/>
        </w:rPr>
        <w:t xml:space="preserve"> Background and Context</w:t>
      </w:r>
    </w:p>
    <w:p w14:paraId="18D5BAB1" w14:textId="77777777" w:rsidR="00E91599" w:rsidRPr="008B498F" w:rsidRDefault="00E91599" w:rsidP="00B80EBF">
      <w:pPr>
        <w:tabs>
          <w:tab w:val="left" w:pos="360"/>
        </w:tabs>
        <w:ind w:right="386"/>
        <w:rPr>
          <w:rFonts w:cs="Arial"/>
        </w:rPr>
      </w:pPr>
    </w:p>
    <w:p w14:paraId="5A67D1D8" w14:textId="77777777" w:rsidR="00902055" w:rsidRPr="008B498F" w:rsidRDefault="00071B82" w:rsidP="00416EFF">
      <w:pPr>
        <w:pStyle w:val="ListParagraph"/>
        <w:ind w:right="386"/>
        <w:rPr>
          <w:rFonts w:cs="Arial"/>
          <w:b/>
        </w:rPr>
      </w:pPr>
      <w:r w:rsidRPr="008B498F">
        <w:rPr>
          <w:rFonts w:cs="Arial"/>
          <w:b/>
        </w:rPr>
        <w:t>Background</w:t>
      </w:r>
      <w:r w:rsidR="00AA3E93" w:rsidRPr="008B498F">
        <w:rPr>
          <w:rFonts w:cs="Arial"/>
          <w:b/>
        </w:rPr>
        <w:t xml:space="preserve"> </w:t>
      </w:r>
    </w:p>
    <w:p w14:paraId="5BEA387D" w14:textId="77777777" w:rsidR="004E7A86" w:rsidRPr="00572DC5" w:rsidRDefault="004E7A86" w:rsidP="00B80EBF">
      <w:pPr>
        <w:ind w:left="900" w:right="386" w:hanging="360"/>
        <w:rPr>
          <w:rFonts w:cs="Arial"/>
          <w:b/>
          <w:highlight w:val="yellow"/>
        </w:rPr>
      </w:pPr>
    </w:p>
    <w:p w14:paraId="4BC9F830" w14:textId="1171DB6E" w:rsidR="00842555" w:rsidRDefault="004E7A86" w:rsidP="00712800">
      <w:pPr>
        <w:pStyle w:val="ListParagraph"/>
        <w:numPr>
          <w:ilvl w:val="0"/>
          <w:numId w:val="8"/>
        </w:numPr>
        <w:ind w:right="386" w:hanging="720"/>
        <w:rPr>
          <w:rFonts w:cs="Arial"/>
        </w:rPr>
      </w:pPr>
      <w:r w:rsidRPr="00995B7A">
        <w:rPr>
          <w:rFonts w:cs="Arial"/>
        </w:rPr>
        <w:t>This report sets out the Council</w:t>
      </w:r>
      <w:r w:rsidR="003969E2" w:rsidRPr="00995B7A">
        <w:rPr>
          <w:rFonts w:cs="Arial"/>
        </w:rPr>
        <w:t>’</w:t>
      </w:r>
      <w:r w:rsidRPr="00995B7A">
        <w:rPr>
          <w:rFonts w:cs="Arial"/>
        </w:rPr>
        <w:t>s financial plans for the period 20</w:t>
      </w:r>
      <w:r w:rsidR="006B1BD8" w:rsidRPr="00995B7A">
        <w:rPr>
          <w:rFonts w:cs="Arial"/>
        </w:rPr>
        <w:t>2</w:t>
      </w:r>
      <w:r w:rsidR="009F751A" w:rsidRPr="00995B7A">
        <w:rPr>
          <w:rFonts w:cs="Arial"/>
        </w:rPr>
        <w:t>6</w:t>
      </w:r>
      <w:r w:rsidRPr="00995B7A">
        <w:rPr>
          <w:rFonts w:cs="Arial"/>
        </w:rPr>
        <w:t>/</w:t>
      </w:r>
      <w:r w:rsidR="0084493A" w:rsidRPr="00995B7A">
        <w:rPr>
          <w:rFonts w:cs="Arial"/>
        </w:rPr>
        <w:t>2</w:t>
      </w:r>
      <w:r w:rsidR="009F751A" w:rsidRPr="00995B7A">
        <w:rPr>
          <w:rFonts w:cs="Arial"/>
        </w:rPr>
        <w:t>7</w:t>
      </w:r>
      <w:r w:rsidRPr="00995B7A">
        <w:rPr>
          <w:rFonts w:cs="Arial"/>
        </w:rPr>
        <w:t xml:space="preserve"> to 20</w:t>
      </w:r>
      <w:r w:rsidR="0015339C" w:rsidRPr="00995B7A">
        <w:rPr>
          <w:rFonts w:cs="Arial"/>
        </w:rPr>
        <w:t>2</w:t>
      </w:r>
      <w:r w:rsidR="009F751A" w:rsidRPr="00995B7A">
        <w:rPr>
          <w:rFonts w:cs="Arial"/>
        </w:rPr>
        <w:t>9</w:t>
      </w:r>
      <w:r w:rsidRPr="00995B7A">
        <w:rPr>
          <w:rFonts w:cs="Arial"/>
        </w:rPr>
        <w:t>/</w:t>
      </w:r>
      <w:r w:rsidR="009F751A" w:rsidRPr="00995B7A">
        <w:rPr>
          <w:rFonts w:cs="Arial"/>
        </w:rPr>
        <w:t>30</w:t>
      </w:r>
      <w:r w:rsidRPr="00995B7A">
        <w:rPr>
          <w:rFonts w:cs="Arial"/>
        </w:rPr>
        <w:t xml:space="preserve">. The plans make </w:t>
      </w:r>
      <w:r w:rsidR="008F0D26" w:rsidRPr="00995B7A">
        <w:rPr>
          <w:rFonts w:cs="Arial"/>
        </w:rPr>
        <w:t>assumptions</w:t>
      </w:r>
      <w:r w:rsidRPr="00995B7A">
        <w:rPr>
          <w:rFonts w:cs="Arial"/>
        </w:rPr>
        <w:t xml:space="preserve"> </w:t>
      </w:r>
      <w:r w:rsidR="003969E2" w:rsidRPr="00995B7A">
        <w:rPr>
          <w:rFonts w:cs="Arial"/>
        </w:rPr>
        <w:t>about</w:t>
      </w:r>
      <w:r w:rsidRPr="00995B7A">
        <w:rPr>
          <w:rFonts w:cs="Arial"/>
        </w:rPr>
        <w:t xml:space="preserve"> income from Government </w:t>
      </w:r>
      <w:r w:rsidR="0065427B" w:rsidRPr="00995B7A">
        <w:rPr>
          <w:rFonts w:cs="Arial"/>
        </w:rPr>
        <w:t>grants</w:t>
      </w:r>
      <w:r w:rsidR="004435EE" w:rsidRPr="00995B7A">
        <w:rPr>
          <w:rFonts w:cs="Arial"/>
        </w:rPr>
        <w:t>,</w:t>
      </w:r>
      <w:r w:rsidRPr="00995B7A">
        <w:rPr>
          <w:rFonts w:cs="Arial"/>
        </w:rPr>
        <w:t xml:space="preserve"> </w:t>
      </w:r>
      <w:r w:rsidR="004435EE" w:rsidRPr="00995B7A">
        <w:rPr>
          <w:rFonts w:cs="Arial"/>
        </w:rPr>
        <w:t>C</w:t>
      </w:r>
      <w:r w:rsidRPr="00995B7A">
        <w:rPr>
          <w:rFonts w:cs="Arial"/>
        </w:rPr>
        <w:t xml:space="preserve">ouncil </w:t>
      </w:r>
      <w:r w:rsidR="004435EE" w:rsidRPr="00995B7A">
        <w:rPr>
          <w:rFonts w:cs="Arial"/>
        </w:rPr>
        <w:t>T</w:t>
      </w:r>
      <w:r w:rsidRPr="00995B7A">
        <w:rPr>
          <w:rFonts w:cs="Arial"/>
        </w:rPr>
        <w:t xml:space="preserve">ax </w:t>
      </w:r>
      <w:r w:rsidR="004435EE" w:rsidRPr="00995B7A">
        <w:rPr>
          <w:rFonts w:cs="Arial"/>
        </w:rPr>
        <w:t>and rents</w:t>
      </w:r>
      <w:r w:rsidRPr="00995B7A">
        <w:rPr>
          <w:rFonts w:cs="Arial"/>
        </w:rPr>
        <w:t xml:space="preserve">. The plans </w:t>
      </w:r>
      <w:r w:rsidR="004435EE" w:rsidRPr="00995B7A">
        <w:rPr>
          <w:rFonts w:cs="Arial"/>
        </w:rPr>
        <w:t xml:space="preserve">underpin </w:t>
      </w:r>
      <w:r w:rsidRPr="00995B7A">
        <w:rPr>
          <w:rFonts w:cs="Arial"/>
        </w:rPr>
        <w:t>service</w:t>
      </w:r>
      <w:r w:rsidR="004435EE" w:rsidRPr="00995B7A">
        <w:rPr>
          <w:rFonts w:cs="Arial"/>
        </w:rPr>
        <w:t xml:space="preserve"> provision and </w:t>
      </w:r>
      <w:r w:rsidRPr="00995B7A">
        <w:rPr>
          <w:rFonts w:cs="Arial"/>
        </w:rPr>
        <w:t>the Council</w:t>
      </w:r>
      <w:r w:rsidR="004435EE" w:rsidRPr="00995B7A">
        <w:rPr>
          <w:rFonts w:cs="Arial"/>
        </w:rPr>
        <w:t xml:space="preserve">’s </w:t>
      </w:r>
      <w:r w:rsidR="000409F1" w:rsidRPr="00995B7A">
        <w:rPr>
          <w:rFonts w:cs="Arial"/>
        </w:rPr>
        <w:t xml:space="preserve">vision </w:t>
      </w:r>
      <w:r w:rsidRPr="00995B7A">
        <w:rPr>
          <w:rFonts w:cs="Arial"/>
        </w:rPr>
        <w:t>of “Building a World Class City for Everyone”</w:t>
      </w:r>
      <w:r w:rsidR="000409F1" w:rsidRPr="00995B7A">
        <w:rPr>
          <w:rFonts w:cs="Arial"/>
        </w:rPr>
        <w:t>.</w:t>
      </w:r>
      <w:r w:rsidR="00842555" w:rsidRPr="00995B7A">
        <w:rPr>
          <w:rFonts w:cs="Arial"/>
        </w:rPr>
        <w:t xml:space="preserve"> </w:t>
      </w:r>
    </w:p>
    <w:p w14:paraId="7D34BBB5" w14:textId="64CAD38C" w:rsidR="00995B7A" w:rsidRDefault="00AD559A" w:rsidP="00712800">
      <w:pPr>
        <w:pStyle w:val="ListParagraph"/>
        <w:numPr>
          <w:ilvl w:val="0"/>
          <w:numId w:val="8"/>
        </w:numPr>
        <w:ind w:right="386" w:hanging="720"/>
        <w:rPr>
          <w:rFonts w:cs="Arial"/>
        </w:rPr>
      </w:pPr>
      <w:r>
        <w:rPr>
          <w:rFonts w:cs="Arial"/>
        </w:rPr>
        <w:t xml:space="preserve">The English Devolution White Paper </w:t>
      </w:r>
      <w:r w:rsidR="00597C7B">
        <w:rPr>
          <w:rFonts w:cs="Arial"/>
        </w:rPr>
        <w:t>(published on 16</w:t>
      </w:r>
      <w:r w:rsidR="00597C7B" w:rsidRPr="00597C7B">
        <w:rPr>
          <w:rFonts w:cs="Arial"/>
          <w:vertAlign w:val="superscript"/>
        </w:rPr>
        <w:t>th</w:t>
      </w:r>
      <w:r w:rsidR="00597C7B">
        <w:rPr>
          <w:rFonts w:cs="Arial"/>
        </w:rPr>
        <w:t xml:space="preserve"> December 2024) set out the government’s vision for simpler local government structures</w:t>
      </w:r>
      <w:r w:rsidR="000E5B47">
        <w:rPr>
          <w:rFonts w:cs="Arial"/>
        </w:rPr>
        <w:t>. On the 5</w:t>
      </w:r>
      <w:r w:rsidR="000E5B47" w:rsidRPr="000E5B47">
        <w:rPr>
          <w:rFonts w:cs="Arial"/>
          <w:vertAlign w:val="superscript"/>
        </w:rPr>
        <w:t>th</w:t>
      </w:r>
      <w:r w:rsidR="000E5B47">
        <w:rPr>
          <w:rFonts w:cs="Arial"/>
        </w:rPr>
        <w:t xml:space="preserve"> February 2025 </w:t>
      </w:r>
      <w:r w:rsidR="00C75667">
        <w:rPr>
          <w:rFonts w:cs="Arial"/>
        </w:rPr>
        <w:t xml:space="preserve">the Government </w:t>
      </w:r>
      <w:r w:rsidR="00677E85">
        <w:rPr>
          <w:rFonts w:cs="Arial"/>
        </w:rPr>
        <w:t xml:space="preserve">issued a statutory invitation to all councils in two tier areas and </w:t>
      </w:r>
      <w:r w:rsidR="0033135B">
        <w:rPr>
          <w:rFonts w:cs="Arial"/>
        </w:rPr>
        <w:t>small neighbouring unitary authorities to develop proposals for unitary local government. T</w:t>
      </w:r>
      <w:r w:rsidR="000D30A6">
        <w:rPr>
          <w:rFonts w:cs="Arial"/>
        </w:rPr>
        <w:t xml:space="preserve">hese proposals bring together </w:t>
      </w:r>
      <w:r w:rsidR="00CB34F4">
        <w:rPr>
          <w:rFonts w:cs="Arial"/>
        </w:rPr>
        <w:t>lower and upper tier local government services into new unitary councils</w:t>
      </w:r>
      <w:r w:rsidR="00707605">
        <w:rPr>
          <w:rFonts w:cs="Arial"/>
        </w:rPr>
        <w:t xml:space="preserve"> to deliver Local Government Reor</w:t>
      </w:r>
      <w:r w:rsidR="00504846">
        <w:rPr>
          <w:rFonts w:cs="Arial"/>
        </w:rPr>
        <w:t>g</w:t>
      </w:r>
      <w:r w:rsidR="00707605">
        <w:rPr>
          <w:rFonts w:cs="Arial"/>
        </w:rPr>
        <w:t>an</w:t>
      </w:r>
      <w:r w:rsidR="00504846">
        <w:rPr>
          <w:rFonts w:cs="Arial"/>
        </w:rPr>
        <w:t>i</w:t>
      </w:r>
      <w:r w:rsidR="00707605">
        <w:rPr>
          <w:rFonts w:cs="Arial"/>
        </w:rPr>
        <w:t>sa</w:t>
      </w:r>
      <w:r w:rsidR="00504846">
        <w:rPr>
          <w:rFonts w:cs="Arial"/>
        </w:rPr>
        <w:t>tion</w:t>
      </w:r>
      <w:r w:rsidR="00681AAB">
        <w:rPr>
          <w:rFonts w:cs="Arial"/>
        </w:rPr>
        <w:t>.</w:t>
      </w:r>
    </w:p>
    <w:p w14:paraId="5CA71B78" w14:textId="724FCC78" w:rsidR="00467CE8" w:rsidRDefault="00467CE8" w:rsidP="00712800">
      <w:pPr>
        <w:pStyle w:val="ListParagraph"/>
        <w:numPr>
          <w:ilvl w:val="0"/>
          <w:numId w:val="8"/>
        </w:numPr>
        <w:ind w:right="386" w:hanging="720"/>
        <w:rPr>
          <w:rFonts w:cs="Arial"/>
        </w:rPr>
      </w:pPr>
      <w:r>
        <w:rPr>
          <w:rFonts w:cs="Arial"/>
        </w:rPr>
        <w:t xml:space="preserve">The timeline </w:t>
      </w:r>
      <w:r w:rsidR="00D321C9">
        <w:rPr>
          <w:rFonts w:cs="Arial"/>
        </w:rPr>
        <w:t xml:space="preserve">Government have set out </w:t>
      </w:r>
      <w:r>
        <w:rPr>
          <w:rFonts w:cs="Arial"/>
        </w:rPr>
        <w:t xml:space="preserve">for the </w:t>
      </w:r>
      <w:r w:rsidR="003254C6">
        <w:rPr>
          <w:rFonts w:cs="Arial"/>
        </w:rPr>
        <w:t>reorganisation</w:t>
      </w:r>
      <w:r>
        <w:rPr>
          <w:rFonts w:cs="Arial"/>
        </w:rPr>
        <w:t xml:space="preserve"> is </w:t>
      </w:r>
    </w:p>
    <w:p w14:paraId="778B3BC9" w14:textId="208DACF8" w:rsidR="00C55B6E" w:rsidRDefault="00C55B6E" w:rsidP="00712800">
      <w:pPr>
        <w:pStyle w:val="ListParagraph"/>
        <w:numPr>
          <w:ilvl w:val="1"/>
          <w:numId w:val="8"/>
        </w:numPr>
        <w:ind w:right="386"/>
        <w:rPr>
          <w:rFonts w:cs="Arial"/>
        </w:rPr>
      </w:pPr>
      <w:r>
        <w:rPr>
          <w:rFonts w:cs="Arial"/>
        </w:rPr>
        <w:t>Submission of</w:t>
      </w:r>
      <w:r w:rsidR="007D2E65">
        <w:rPr>
          <w:rFonts w:cs="Arial"/>
        </w:rPr>
        <w:t xml:space="preserve"> unitary proposals – </w:t>
      </w:r>
      <w:r w:rsidR="004753A0">
        <w:rPr>
          <w:rFonts w:cs="Arial"/>
        </w:rPr>
        <w:t>28</w:t>
      </w:r>
      <w:r w:rsidR="004753A0" w:rsidRPr="004753A0">
        <w:rPr>
          <w:rFonts w:cs="Arial"/>
          <w:vertAlign w:val="superscript"/>
        </w:rPr>
        <w:t>th</w:t>
      </w:r>
      <w:r w:rsidR="004753A0">
        <w:rPr>
          <w:rFonts w:cs="Arial"/>
        </w:rPr>
        <w:t xml:space="preserve"> </w:t>
      </w:r>
      <w:r w:rsidR="007D2E65">
        <w:rPr>
          <w:rFonts w:cs="Arial"/>
        </w:rPr>
        <w:t>November 2025</w:t>
      </w:r>
    </w:p>
    <w:p w14:paraId="28DE6DC1" w14:textId="177677AC" w:rsidR="007D2E65" w:rsidRDefault="00BE46D4" w:rsidP="00712800">
      <w:pPr>
        <w:pStyle w:val="ListParagraph"/>
        <w:numPr>
          <w:ilvl w:val="1"/>
          <w:numId w:val="8"/>
        </w:numPr>
        <w:ind w:right="386"/>
        <w:rPr>
          <w:rFonts w:cs="Arial"/>
        </w:rPr>
      </w:pPr>
      <w:r>
        <w:rPr>
          <w:rFonts w:cs="Arial"/>
        </w:rPr>
        <w:t xml:space="preserve">Consultation </w:t>
      </w:r>
      <w:r w:rsidR="00873E6A">
        <w:rPr>
          <w:rFonts w:cs="Arial"/>
        </w:rPr>
        <w:t>o</w:t>
      </w:r>
      <w:r>
        <w:rPr>
          <w:rFonts w:cs="Arial"/>
        </w:rPr>
        <w:t>n</w:t>
      </w:r>
      <w:r w:rsidR="00C3109E">
        <w:rPr>
          <w:rFonts w:cs="Arial"/>
        </w:rPr>
        <w:t xml:space="preserve"> </w:t>
      </w:r>
      <w:r w:rsidR="00B356B8">
        <w:rPr>
          <w:rFonts w:cs="Arial"/>
        </w:rPr>
        <w:t xml:space="preserve">options </w:t>
      </w:r>
      <w:r w:rsidR="00197F32">
        <w:rPr>
          <w:rFonts w:cs="Arial"/>
        </w:rPr>
        <w:t xml:space="preserve">– </w:t>
      </w:r>
      <w:r w:rsidR="00344F48">
        <w:rPr>
          <w:rFonts w:cs="Arial"/>
        </w:rPr>
        <w:t>Spring</w:t>
      </w:r>
      <w:r w:rsidR="00197F32">
        <w:rPr>
          <w:rFonts w:cs="Arial"/>
        </w:rPr>
        <w:t xml:space="preserve"> 2026</w:t>
      </w:r>
    </w:p>
    <w:p w14:paraId="6E2DE253" w14:textId="7274780E" w:rsidR="00197F32" w:rsidRDefault="003F19E9" w:rsidP="00712800">
      <w:pPr>
        <w:pStyle w:val="ListParagraph"/>
        <w:numPr>
          <w:ilvl w:val="1"/>
          <w:numId w:val="8"/>
        </w:numPr>
        <w:ind w:right="386"/>
        <w:rPr>
          <w:rFonts w:cs="Arial"/>
        </w:rPr>
      </w:pPr>
      <w:r>
        <w:rPr>
          <w:rFonts w:cs="Arial"/>
        </w:rPr>
        <w:t xml:space="preserve">Decision </w:t>
      </w:r>
      <w:r w:rsidR="00993799">
        <w:rPr>
          <w:rFonts w:cs="Arial"/>
        </w:rPr>
        <w:t xml:space="preserve">on proposals </w:t>
      </w:r>
      <w:r>
        <w:rPr>
          <w:rFonts w:cs="Arial"/>
        </w:rPr>
        <w:t xml:space="preserve">by Government – </w:t>
      </w:r>
      <w:r w:rsidR="008C6AE0">
        <w:rPr>
          <w:rFonts w:cs="Arial"/>
        </w:rPr>
        <w:t>July</w:t>
      </w:r>
      <w:r>
        <w:rPr>
          <w:rFonts w:cs="Arial"/>
        </w:rPr>
        <w:t xml:space="preserve"> 202</w:t>
      </w:r>
      <w:r w:rsidR="008C6AE0">
        <w:rPr>
          <w:rFonts w:cs="Arial"/>
        </w:rPr>
        <w:t>6</w:t>
      </w:r>
    </w:p>
    <w:p w14:paraId="50D0556A" w14:textId="3BE3530E" w:rsidR="00ED5971" w:rsidRDefault="0003732A" w:rsidP="00712800">
      <w:pPr>
        <w:pStyle w:val="ListParagraph"/>
        <w:numPr>
          <w:ilvl w:val="1"/>
          <w:numId w:val="8"/>
        </w:numPr>
        <w:ind w:right="386"/>
        <w:rPr>
          <w:rFonts w:cs="Arial"/>
        </w:rPr>
      </w:pPr>
      <w:r>
        <w:rPr>
          <w:rFonts w:cs="Arial"/>
        </w:rPr>
        <w:t xml:space="preserve">Elections to </w:t>
      </w:r>
      <w:r w:rsidR="00ED5971">
        <w:rPr>
          <w:rFonts w:cs="Arial"/>
        </w:rPr>
        <w:t xml:space="preserve">Shadow authorities </w:t>
      </w:r>
      <w:r w:rsidR="000F62AE">
        <w:rPr>
          <w:rFonts w:cs="Arial"/>
        </w:rPr>
        <w:t>May</w:t>
      </w:r>
      <w:r w:rsidR="00ED5971">
        <w:rPr>
          <w:rFonts w:cs="Arial"/>
        </w:rPr>
        <w:t xml:space="preserve"> 2027</w:t>
      </w:r>
    </w:p>
    <w:p w14:paraId="598FAE9A" w14:textId="7459C76F" w:rsidR="00ED5971" w:rsidRPr="00AD7579" w:rsidRDefault="00A94FB1" w:rsidP="00712800">
      <w:pPr>
        <w:pStyle w:val="ListParagraph"/>
        <w:numPr>
          <w:ilvl w:val="1"/>
          <w:numId w:val="8"/>
        </w:numPr>
        <w:ind w:right="386"/>
        <w:rPr>
          <w:rFonts w:cs="Arial"/>
        </w:rPr>
      </w:pPr>
      <w:r>
        <w:rPr>
          <w:rFonts w:cs="Arial"/>
        </w:rPr>
        <w:t xml:space="preserve">1-4-2028 </w:t>
      </w:r>
      <w:r w:rsidR="008B631E">
        <w:rPr>
          <w:rFonts w:cs="Arial"/>
        </w:rPr>
        <w:t>–</w:t>
      </w:r>
      <w:r>
        <w:rPr>
          <w:rFonts w:cs="Arial"/>
        </w:rPr>
        <w:t xml:space="preserve"> </w:t>
      </w:r>
      <w:r w:rsidR="008B631E">
        <w:rPr>
          <w:rFonts w:cs="Arial"/>
        </w:rPr>
        <w:t>vesting day of new councils and dissolving of pred</w:t>
      </w:r>
      <w:r w:rsidR="001158C4">
        <w:rPr>
          <w:rFonts w:cs="Arial"/>
        </w:rPr>
        <w:t xml:space="preserve">ecessor </w:t>
      </w:r>
      <w:r w:rsidR="001158C4" w:rsidRPr="00AD7579">
        <w:rPr>
          <w:rFonts w:cs="Arial"/>
        </w:rPr>
        <w:t>councils</w:t>
      </w:r>
    </w:p>
    <w:p w14:paraId="3009247C" w14:textId="1AF60D44" w:rsidR="001158C4" w:rsidRPr="00DA45F5" w:rsidRDefault="001158C4" w:rsidP="00712800">
      <w:pPr>
        <w:pStyle w:val="ListParagraph"/>
        <w:numPr>
          <w:ilvl w:val="0"/>
          <w:numId w:val="8"/>
        </w:numPr>
        <w:ind w:right="386" w:hanging="720"/>
        <w:rPr>
          <w:rFonts w:cs="Arial"/>
        </w:rPr>
      </w:pPr>
      <w:r w:rsidRPr="00AD7579">
        <w:rPr>
          <w:rFonts w:cs="Arial"/>
        </w:rPr>
        <w:t xml:space="preserve">The Council has no way of knowing the future direction of the authority until </w:t>
      </w:r>
      <w:r w:rsidR="00E609BF">
        <w:rPr>
          <w:rFonts w:cs="Arial"/>
        </w:rPr>
        <w:t>Summer</w:t>
      </w:r>
      <w:r w:rsidRPr="00AD7579">
        <w:rPr>
          <w:rFonts w:cs="Arial"/>
        </w:rPr>
        <w:t xml:space="preserve"> 2026</w:t>
      </w:r>
      <w:r w:rsidR="00EE24A4">
        <w:rPr>
          <w:rFonts w:cs="Arial"/>
        </w:rPr>
        <w:t>.  A</w:t>
      </w:r>
      <w:r w:rsidR="00C24F08">
        <w:rPr>
          <w:rFonts w:cs="Arial"/>
        </w:rPr>
        <w:t xml:space="preserve">s such </w:t>
      </w:r>
      <w:r w:rsidR="00712800">
        <w:rPr>
          <w:rFonts w:cs="Arial"/>
        </w:rPr>
        <w:t xml:space="preserve">Oxford City Council has been assumed to be a going concern for the foreseeable future and </w:t>
      </w:r>
      <w:r w:rsidR="00C24F08">
        <w:rPr>
          <w:rFonts w:cs="Arial"/>
        </w:rPr>
        <w:t xml:space="preserve">no financial implications of establishing or operating in a new unitary set up </w:t>
      </w:r>
      <w:r w:rsidR="00322F41">
        <w:rPr>
          <w:rFonts w:cs="Arial"/>
        </w:rPr>
        <w:t>ha</w:t>
      </w:r>
      <w:r w:rsidR="00712800">
        <w:rPr>
          <w:rFonts w:cs="Arial"/>
        </w:rPr>
        <w:t>ve</w:t>
      </w:r>
      <w:r w:rsidR="00322F41">
        <w:rPr>
          <w:rFonts w:cs="Arial"/>
        </w:rPr>
        <w:t xml:space="preserve"> been included </w:t>
      </w:r>
      <w:r w:rsidR="00566A07" w:rsidRPr="00DA45F5">
        <w:rPr>
          <w:rFonts w:cs="Arial"/>
        </w:rPr>
        <w:t>with</w:t>
      </w:r>
      <w:r w:rsidR="00322F41">
        <w:rPr>
          <w:rFonts w:cs="Arial"/>
        </w:rPr>
        <w:t>in</w:t>
      </w:r>
      <w:r w:rsidR="00566A07" w:rsidRPr="00DA45F5">
        <w:rPr>
          <w:rFonts w:cs="Arial"/>
        </w:rPr>
        <w:t xml:space="preserve"> the MTFP</w:t>
      </w:r>
      <w:r w:rsidR="00712800">
        <w:rPr>
          <w:rFonts w:cs="Arial"/>
        </w:rPr>
        <w:t>. However, in order to get a ‘head start; on preparations for unitary status an amount of £2million has been included in the MTFP in 2026-27 to cover the costs of project management and consultancy</w:t>
      </w:r>
      <w:r w:rsidR="00AD7579" w:rsidRPr="00DA45F5">
        <w:rPr>
          <w:rFonts w:cs="Arial"/>
        </w:rPr>
        <w:t>.</w:t>
      </w:r>
      <w:r w:rsidR="00B96C3A" w:rsidRPr="00DA45F5">
        <w:rPr>
          <w:rFonts w:cs="Arial"/>
        </w:rPr>
        <w:t xml:space="preserve"> </w:t>
      </w:r>
    </w:p>
    <w:p w14:paraId="6ADB8C43" w14:textId="0E9F512A" w:rsidR="00842555" w:rsidRDefault="00842555" w:rsidP="00712800">
      <w:pPr>
        <w:pStyle w:val="ListParagraph"/>
        <w:numPr>
          <w:ilvl w:val="0"/>
          <w:numId w:val="8"/>
        </w:numPr>
        <w:ind w:right="386" w:hanging="720"/>
        <w:rPr>
          <w:rFonts w:cs="Arial"/>
        </w:rPr>
      </w:pPr>
      <w:r w:rsidRPr="00DA45F5">
        <w:rPr>
          <w:rFonts w:cs="Arial"/>
        </w:rPr>
        <w:t xml:space="preserve">The Council operates </w:t>
      </w:r>
      <w:r w:rsidR="4F08DA4D" w:rsidRPr="00DA45F5">
        <w:rPr>
          <w:rFonts w:cs="Arial"/>
        </w:rPr>
        <w:t>the</w:t>
      </w:r>
      <w:r w:rsidRPr="00DA45F5">
        <w:rPr>
          <w:rFonts w:cs="Arial"/>
        </w:rPr>
        <w:t xml:space="preserve"> ‘Oxford Model’ which seeks to support and maintain services </w:t>
      </w:r>
      <w:r w:rsidR="00994723" w:rsidRPr="00DA45F5">
        <w:rPr>
          <w:rFonts w:cs="Arial"/>
        </w:rPr>
        <w:t>from income stream</w:t>
      </w:r>
      <w:r w:rsidR="5BE47197" w:rsidRPr="00DA45F5">
        <w:rPr>
          <w:rFonts w:cs="Arial"/>
        </w:rPr>
        <w:t>s</w:t>
      </w:r>
      <w:r w:rsidR="00994723" w:rsidRPr="00DA45F5">
        <w:rPr>
          <w:rFonts w:cs="Arial"/>
        </w:rPr>
        <w:t xml:space="preserve"> driven from fees and charges</w:t>
      </w:r>
      <w:r w:rsidR="416F250B" w:rsidRPr="00DA45F5">
        <w:rPr>
          <w:rFonts w:cs="Arial"/>
        </w:rPr>
        <w:t>, income from our assets</w:t>
      </w:r>
      <w:r w:rsidR="00994723" w:rsidRPr="00DA45F5">
        <w:rPr>
          <w:rFonts w:cs="Arial"/>
        </w:rPr>
        <w:t xml:space="preserve"> and financial returns from our wholly owned companies. A breakdown </w:t>
      </w:r>
      <w:r w:rsidR="007D0000" w:rsidRPr="00DA45F5">
        <w:rPr>
          <w:rFonts w:cs="Arial"/>
        </w:rPr>
        <w:t>of gross</w:t>
      </w:r>
      <w:r w:rsidR="00994723" w:rsidRPr="00DA45F5">
        <w:rPr>
          <w:rFonts w:cs="Arial"/>
        </w:rPr>
        <w:t xml:space="preserve"> income </w:t>
      </w:r>
      <w:r w:rsidR="1AC3222A" w:rsidRPr="00DA45F5">
        <w:rPr>
          <w:rFonts w:cs="Arial"/>
        </w:rPr>
        <w:t>of around £</w:t>
      </w:r>
      <w:r w:rsidR="00DA45F5" w:rsidRPr="00DA45F5">
        <w:rPr>
          <w:rFonts w:cs="Arial"/>
        </w:rPr>
        <w:t>82</w:t>
      </w:r>
      <w:r w:rsidR="1AC3222A" w:rsidRPr="00DA45F5">
        <w:rPr>
          <w:rFonts w:cs="Arial"/>
        </w:rPr>
        <w:t xml:space="preserve"> million from various sources is </w:t>
      </w:r>
      <w:r w:rsidR="00994723" w:rsidRPr="00DA45F5">
        <w:rPr>
          <w:rFonts w:cs="Arial"/>
        </w:rPr>
        <w:t xml:space="preserve">shown </w:t>
      </w:r>
      <w:r w:rsidR="007D0000" w:rsidRPr="00DA45F5">
        <w:rPr>
          <w:rFonts w:cs="Arial"/>
        </w:rPr>
        <w:t>graphically below</w:t>
      </w:r>
      <w:r w:rsidR="00994723" w:rsidRPr="00DA45F5">
        <w:rPr>
          <w:rFonts w:cs="Arial"/>
        </w:rPr>
        <w:t>.</w:t>
      </w:r>
    </w:p>
    <w:p w14:paraId="5D7A7878" w14:textId="77777777" w:rsidR="00803B8B" w:rsidRDefault="00803B8B" w:rsidP="00803B8B">
      <w:pPr>
        <w:ind w:right="386"/>
        <w:rPr>
          <w:rFonts w:cs="Arial"/>
        </w:rPr>
      </w:pPr>
    </w:p>
    <w:p w14:paraId="364D696D" w14:textId="77777777" w:rsidR="004C138E" w:rsidRDefault="004C138E" w:rsidP="00803B8B">
      <w:pPr>
        <w:ind w:right="386"/>
        <w:rPr>
          <w:rFonts w:cs="Arial"/>
        </w:rPr>
      </w:pPr>
    </w:p>
    <w:p w14:paraId="6796FA08" w14:textId="77777777" w:rsidR="004C138E" w:rsidRDefault="004C138E" w:rsidP="00803B8B">
      <w:pPr>
        <w:ind w:right="386"/>
        <w:rPr>
          <w:rFonts w:cs="Arial"/>
        </w:rPr>
      </w:pPr>
    </w:p>
    <w:p w14:paraId="5CC55665" w14:textId="77777777" w:rsidR="004C138E" w:rsidRDefault="004C138E" w:rsidP="00803B8B">
      <w:pPr>
        <w:ind w:right="386"/>
        <w:rPr>
          <w:rFonts w:cs="Arial"/>
        </w:rPr>
      </w:pPr>
    </w:p>
    <w:p w14:paraId="4EBA72B7" w14:textId="77777777" w:rsidR="004C138E" w:rsidRDefault="004C138E" w:rsidP="00803B8B">
      <w:pPr>
        <w:ind w:right="386"/>
        <w:rPr>
          <w:rFonts w:cs="Arial"/>
        </w:rPr>
      </w:pPr>
    </w:p>
    <w:p w14:paraId="76251D0C" w14:textId="77777777" w:rsidR="004C138E" w:rsidRDefault="004C138E" w:rsidP="00803B8B">
      <w:pPr>
        <w:ind w:right="386"/>
        <w:rPr>
          <w:rFonts w:cs="Arial"/>
        </w:rPr>
      </w:pPr>
    </w:p>
    <w:p w14:paraId="6C0721B3" w14:textId="77777777" w:rsidR="004C138E" w:rsidRDefault="004C138E" w:rsidP="00803B8B">
      <w:pPr>
        <w:ind w:right="386"/>
        <w:rPr>
          <w:rFonts w:cs="Arial"/>
        </w:rPr>
      </w:pPr>
    </w:p>
    <w:p w14:paraId="11CD4789" w14:textId="77777777" w:rsidR="004C138E" w:rsidRDefault="004C138E" w:rsidP="00803B8B">
      <w:pPr>
        <w:ind w:right="386"/>
        <w:rPr>
          <w:rFonts w:cs="Arial"/>
        </w:rPr>
      </w:pPr>
    </w:p>
    <w:p w14:paraId="68AFEBF5" w14:textId="77777777" w:rsidR="004C138E" w:rsidRDefault="004C138E" w:rsidP="00803B8B">
      <w:pPr>
        <w:ind w:right="386"/>
        <w:rPr>
          <w:rFonts w:cs="Arial"/>
        </w:rPr>
      </w:pPr>
    </w:p>
    <w:p w14:paraId="428E3C37" w14:textId="77777777" w:rsidR="004C138E" w:rsidRDefault="004C138E" w:rsidP="00803B8B">
      <w:pPr>
        <w:ind w:right="386"/>
        <w:rPr>
          <w:rFonts w:cs="Arial"/>
        </w:rPr>
      </w:pPr>
    </w:p>
    <w:p w14:paraId="193BF7DB" w14:textId="77777777" w:rsidR="004C138E" w:rsidRDefault="004C138E" w:rsidP="00803B8B">
      <w:pPr>
        <w:ind w:right="386"/>
        <w:rPr>
          <w:rFonts w:cs="Arial"/>
        </w:rPr>
      </w:pPr>
    </w:p>
    <w:p w14:paraId="1AC84AD1" w14:textId="77777777" w:rsidR="004C138E" w:rsidRDefault="004C138E" w:rsidP="00803B8B">
      <w:pPr>
        <w:ind w:right="386"/>
        <w:rPr>
          <w:rFonts w:cs="Arial"/>
        </w:rPr>
      </w:pPr>
    </w:p>
    <w:p w14:paraId="1E0CD3FB" w14:textId="77777777" w:rsidR="004C138E" w:rsidRDefault="004C138E" w:rsidP="00803B8B">
      <w:pPr>
        <w:ind w:right="386"/>
        <w:rPr>
          <w:rFonts w:cs="Arial"/>
        </w:rPr>
      </w:pPr>
    </w:p>
    <w:p w14:paraId="74421C3E" w14:textId="77777777" w:rsidR="004C138E" w:rsidRDefault="004C138E" w:rsidP="00803B8B">
      <w:pPr>
        <w:ind w:right="386"/>
        <w:rPr>
          <w:rFonts w:cs="Arial"/>
        </w:rPr>
      </w:pPr>
    </w:p>
    <w:p w14:paraId="376AC203" w14:textId="77777777" w:rsidR="004C138E" w:rsidRDefault="004C138E" w:rsidP="00803B8B">
      <w:pPr>
        <w:ind w:right="386"/>
        <w:rPr>
          <w:rFonts w:cs="Arial"/>
        </w:rPr>
      </w:pPr>
    </w:p>
    <w:p w14:paraId="7BF477A3" w14:textId="77777777" w:rsidR="004C138E" w:rsidRDefault="004C138E" w:rsidP="00803B8B">
      <w:pPr>
        <w:ind w:right="386"/>
        <w:rPr>
          <w:rFonts w:cs="Arial"/>
        </w:rPr>
      </w:pPr>
    </w:p>
    <w:p w14:paraId="1B8ADB3F" w14:textId="77777777" w:rsidR="004C138E" w:rsidRDefault="004C138E" w:rsidP="00803B8B">
      <w:pPr>
        <w:ind w:right="386"/>
        <w:rPr>
          <w:rFonts w:cs="Arial"/>
        </w:rPr>
      </w:pPr>
    </w:p>
    <w:p w14:paraId="471E26D5" w14:textId="77777777" w:rsidR="004C138E" w:rsidRDefault="004C138E" w:rsidP="00803B8B">
      <w:pPr>
        <w:ind w:right="386"/>
        <w:rPr>
          <w:rFonts w:cs="Arial"/>
        </w:rPr>
      </w:pPr>
    </w:p>
    <w:p w14:paraId="12A6D924" w14:textId="77777777" w:rsidR="004C138E" w:rsidRDefault="004C138E" w:rsidP="00803B8B">
      <w:pPr>
        <w:ind w:right="386"/>
        <w:rPr>
          <w:rFonts w:cs="Arial"/>
        </w:rPr>
      </w:pPr>
    </w:p>
    <w:p w14:paraId="592141C7" w14:textId="77777777" w:rsidR="004C138E" w:rsidRDefault="004C138E" w:rsidP="00803B8B">
      <w:pPr>
        <w:ind w:right="386"/>
        <w:rPr>
          <w:rFonts w:cs="Arial"/>
        </w:rPr>
      </w:pPr>
    </w:p>
    <w:p w14:paraId="5581370A" w14:textId="77777777" w:rsidR="004C138E" w:rsidRDefault="004C138E" w:rsidP="00803B8B">
      <w:pPr>
        <w:ind w:right="386"/>
        <w:rPr>
          <w:rFonts w:cs="Arial"/>
        </w:rPr>
      </w:pPr>
    </w:p>
    <w:p w14:paraId="4C89C6E7" w14:textId="76D3C90F" w:rsidR="00962190" w:rsidRPr="00DA45F5" w:rsidRDefault="002A51B8" w:rsidP="12B5E433">
      <w:pPr>
        <w:ind w:right="386" w:firstLine="720"/>
        <w:rPr>
          <w:rFonts w:cs="Arial"/>
          <w:b/>
          <w:bCs/>
        </w:rPr>
      </w:pPr>
      <w:r>
        <w:rPr>
          <w:rFonts w:cs="Arial"/>
          <w:b/>
          <w:bCs/>
        </w:rPr>
        <w:lastRenderedPageBreak/>
        <w:t>Picture</w:t>
      </w:r>
      <w:r w:rsidR="1278DF05" w:rsidRPr="00DA45F5">
        <w:rPr>
          <w:rFonts w:cs="Arial"/>
          <w:b/>
          <w:bCs/>
        </w:rPr>
        <w:t xml:space="preserve"> 1 : General Fund Revenue Income 202</w:t>
      </w:r>
      <w:r w:rsidR="00DA45F5" w:rsidRPr="00DA45F5">
        <w:rPr>
          <w:rFonts w:cs="Arial"/>
          <w:b/>
          <w:bCs/>
        </w:rPr>
        <w:t>5</w:t>
      </w:r>
      <w:r w:rsidR="1278DF05" w:rsidRPr="00DA45F5">
        <w:rPr>
          <w:rFonts w:cs="Arial"/>
          <w:b/>
          <w:bCs/>
        </w:rPr>
        <w:t>-2</w:t>
      </w:r>
      <w:r w:rsidR="00DA45F5" w:rsidRPr="00DA45F5">
        <w:rPr>
          <w:rFonts w:cs="Arial"/>
          <w:b/>
          <w:bCs/>
        </w:rPr>
        <w:t>6</w:t>
      </w:r>
    </w:p>
    <w:p w14:paraId="41ECB66F" w14:textId="77777777" w:rsidR="00161215" w:rsidRPr="00DA45F5" w:rsidRDefault="00161215" w:rsidP="00ED2696">
      <w:pPr>
        <w:ind w:right="386" w:firstLine="720"/>
        <w:rPr>
          <w:rFonts w:cs="Arial"/>
          <w:b/>
        </w:rPr>
      </w:pPr>
    </w:p>
    <w:p w14:paraId="03A0D6D0" w14:textId="299115CC" w:rsidR="00842555" w:rsidRPr="00572DC5" w:rsidRDefault="00F70A79" w:rsidP="00842555">
      <w:pPr>
        <w:pStyle w:val="ListParagraph"/>
        <w:ind w:right="386" w:hanging="720"/>
        <w:rPr>
          <w:rFonts w:cs="Arial"/>
          <w:highlight w:val="yellow"/>
        </w:rPr>
      </w:pPr>
      <w:r>
        <w:rPr>
          <w:noProof/>
        </w:rPr>
        <w:drawing>
          <wp:inline distT="0" distB="0" distL="0" distR="0" wp14:anchorId="3DFDEC81" wp14:editId="62491B0B">
            <wp:extent cx="6022975" cy="4142740"/>
            <wp:effectExtent l="0" t="0" r="0" b="0"/>
            <wp:docPr id="206985788" name="Picture 1" descr="A pie char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85788" name="Picture 1" descr="A pie chart with numbers and text&#10;&#10;AI-generated content may be incorrect."/>
                    <pic:cNvPicPr/>
                  </pic:nvPicPr>
                  <pic:blipFill>
                    <a:blip r:embed="rId12"/>
                    <a:stretch>
                      <a:fillRect/>
                    </a:stretch>
                  </pic:blipFill>
                  <pic:spPr>
                    <a:xfrm>
                      <a:off x="0" y="0"/>
                      <a:ext cx="6022975" cy="4142740"/>
                    </a:xfrm>
                    <a:prstGeom prst="rect">
                      <a:avLst/>
                    </a:prstGeom>
                  </pic:spPr>
                </pic:pic>
              </a:graphicData>
            </a:graphic>
          </wp:inline>
        </w:drawing>
      </w:r>
    </w:p>
    <w:p w14:paraId="18596AA2" w14:textId="77777777" w:rsidR="00E1346E" w:rsidRPr="003A2F8B" w:rsidRDefault="00E1346E" w:rsidP="6F9FB908">
      <w:pPr>
        <w:pStyle w:val="ListParagraph"/>
        <w:tabs>
          <w:tab w:val="left" w:pos="450"/>
        </w:tabs>
        <w:ind w:left="0" w:right="386"/>
        <w:rPr>
          <w:rFonts w:cs="Arial"/>
          <w:u w:val="single"/>
        </w:rPr>
      </w:pPr>
    </w:p>
    <w:p w14:paraId="395C8B50" w14:textId="1A3B4A5D" w:rsidR="00E1346E" w:rsidRPr="003A2F8B" w:rsidRDefault="00712800" w:rsidP="6F9FB908">
      <w:pPr>
        <w:pStyle w:val="ListParagraph"/>
        <w:tabs>
          <w:tab w:val="left" w:pos="709"/>
        </w:tabs>
        <w:ind w:left="709" w:right="386" w:hanging="709"/>
        <w:rPr>
          <w:rFonts w:cs="Arial"/>
        </w:rPr>
      </w:pPr>
      <w:r>
        <w:rPr>
          <w:rFonts w:cs="Arial"/>
        </w:rPr>
        <w:t>9</w:t>
      </w:r>
      <w:r w:rsidR="00E1346E" w:rsidRPr="003A2F8B">
        <w:tab/>
      </w:r>
      <w:r w:rsidR="00E1346E" w:rsidRPr="003A2F8B">
        <w:tab/>
      </w:r>
      <w:r w:rsidR="00E1346E" w:rsidRPr="003A2F8B">
        <w:rPr>
          <w:rFonts w:cs="Arial"/>
        </w:rPr>
        <w:t xml:space="preserve">Over half of our financial resources are derived from sources generated by the Council, with </w:t>
      </w:r>
      <w:r w:rsidR="003A2F8B" w:rsidRPr="003A2F8B">
        <w:rPr>
          <w:rFonts w:cs="Arial"/>
        </w:rPr>
        <w:t>7</w:t>
      </w:r>
      <w:r w:rsidR="00E1346E" w:rsidRPr="003A2F8B">
        <w:rPr>
          <w:rFonts w:cs="Arial"/>
        </w:rPr>
        <w:t>% being delivered by the Council</w:t>
      </w:r>
      <w:r w:rsidR="25A716FC" w:rsidRPr="003A2F8B">
        <w:rPr>
          <w:rFonts w:cs="Arial"/>
        </w:rPr>
        <w:t>’</w:t>
      </w:r>
      <w:r w:rsidR="00E1346E" w:rsidRPr="003A2F8B">
        <w:rPr>
          <w:rFonts w:cs="Arial"/>
        </w:rPr>
        <w:t>s wholly owned companies OXPlace and ODS. This level of income maximisation requires a commensurate level of staff, providing technical knowledge and professionalism without which the council</w:t>
      </w:r>
      <w:r w:rsidR="00DD577A" w:rsidRPr="003A2F8B">
        <w:rPr>
          <w:rFonts w:cs="Arial"/>
        </w:rPr>
        <w:t xml:space="preserve"> would need</w:t>
      </w:r>
      <w:r w:rsidR="00E1346E" w:rsidRPr="003A2F8B">
        <w:rPr>
          <w:rFonts w:cs="Arial"/>
        </w:rPr>
        <w:t xml:space="preserve"> to make unprecedented cuts in its services. </w:t>
      </w:r>
    </w:p>
    <w:p w14:paraId="2E595A53" w14:textId="77777777" w:rsidR="00E1346E" w:rsidRPr="00572DC5" w:rsidRDefault="00E1346E" w:rsidP="001B71E1">
      <w:pPr>
        <w:pStyle w:val="ListParagraph"/>
        <w:tabs>
          <w:tab w:val="left" w:pos="450"/>
        </w:tabs>
        <w:ind w:left="0" w:right="386"/>
        <w:rPr>
          <w:rFonts w:cs="Arial"/>
          <w:b/>
          <w:highlight w:val="yellow"/>
        </w:rPr>
      </w:pPr>
    </w:p>
    <w:p w14:paraId="245796D0" w14:textId="04A0D5BB" w:rsidR="00F26290" w:rsidRPr="0093183F" w:rsidRDefault="00446063" w:rsidP="001B71E1">
      <w:pPr>
        <w:pStyle w:val="ListParagraph"/>
        <w:tabs>
          <w:tab w:val="left" w:pos="450"/>
        </w:tabs>
        <w:ind w:left="0" w:right="386"/>
        <w:rPr>
          <w:rFonts w:cs="Arial"/>
        </w:rPr>
      </w:pPr>
      <w:r w:rsidRPr="0093183F">
        <w:rPr>
          <w:rFonts w:cs="Arial"/>
          <w:b/>
        </w:rPr>
        <w:t>Inflation</w:t>
      </w:r>
    </w:p>
    <w:p w14:paraId="4B947E20" w14:textId="4827F8B1" w:rsidR="008841D4" w:rsidRDefault="096F835B" w:rsidP="00712800">
      <w:pPr>
        <w:pStyle w:val="ListParagraph"/>
        <w:numPr>
          <w:ilvl w:val="0"/>
          <w:numId w:val="35"/>
        </w:numPr>
        <w:ind w:right="386" w:hanging="720"/>
      </w:pPr>
      <w:r w:rsidRPr="0093183F">
        <w:t>Consumer Price Index (</w:t>
      </w:r>
      <w:r w:rsidR="006641F9" w:rsidRPr="0093183F">
        <w:t>CPI</w:t>
      </w:r>
      <w:r w:rsidR="10A02BE0" w:rsidRPr="0093183F">
        <w:t>)</w:t>
      </w:r>
      <w:r w:rsidR="006641F9" w:rsidRPr="0093183F">
        <w:t xml:space="preserve"> inflation </w:t>
      </w:r>
      <w:r w:rsidR="00FE0699" w:rsidRPr="0093183F">
        <w:t xml:space="preserve">has remained </w:t>
      </w:r>
      <w:r w:rsidR="00CE5846" w:rsidRPr="0093183F">
        <w:t xml:space="preserve">unchanged </w:t>
      </w:r>
      <w:r w:rsidR="006D45AA" w:rsidRPr="0093183F">
        <w:t xml:space="preserve">for September </w:t>
      </w:r>
      <w:r w:rsidR="00CE5846" w:rsidRPr="0093183F">
        <w:t>f</w:t>
      </w:r>
      <w:r w:rsidR="006139EB" w:rsidRPr="0093183F">
        <w:t>rom the previous tw</w:t>
      </w:r>
      <w:r w:rsidR="001B67C3" w:rsidRPr="0093183F">
        <w:t>o</w:t>
      </w:r>
      <w:r w:rsidR="006139EB" w:rsidRPr="0093183F">
        <w:t xml:space="preserve"> months</w:t>
      </w:r>
      <w:r w:rsidR="001B67C3" w:rsidRPr="0093183F">
        <w:t xml:space="preserve"> at </w:t>
      </w:r>
      <w:r w:rsidR="00793FE4" w:rsidRPr="0093183F">
        <w:t>3.8%</w:t>
      </w:r>
      <w:r w:rsidR="002C6859" w:rsidRPr="0093183F">
        <w:t xml:space="preserve"> which is below </w:t>
      </w:r>
      <w:r w:rsidR="0093183F" w:rsidRPr="0093183F">
        <w:t>analysts’</w:t>
      </w:r>
      <w:r w:rsidR="002C6859" w:rsidRPr="0093183F">
        <w:t xml:space="preserve"> expectation of 4%. </w:t>
      </w:r>
      <w:r w:rsidR="00FA07AE" w:rsidRPr="0093183F">
        <w:t xml:space="preserve">The Bank of England </w:t>
      </w:r>
      <w:r w:rsidR="00D86A4B" w:rsidRPr="0093183F">
        <w:t xml:space="preserve">expects </w:t>
      </w:r>
      <w:r w:rsidR="0093183F" w:rsidRPr="0093183F">
        <w:t>September’s</w:t>
      </w:r>
      <w:r w:rsidR="00227A7A" w:rsidRPr="0093183F">
        <w:t xml:space="preserve"> figure to </w:t>
      </w:r>
      <w:r w:rsidR="00A10A3C" w:rsidRPr="0093183F">
        <w:t xml:space="preserve">be the peak </w:t>
      </w:r>
      <w:r w:rsidR="003C6BE3" w:rsidRPr="0093183F">
        <w:t xml:space="preserve">and for inflation to slow down through the rest of 2025 and 2026. </w:t>
      </w:r>
      <w:r w:rsidR="0058098A" w:rsidRPr="0093183F">
        <w:t xml:space="preserve">There is </w:t>
      </w:r>
      <w:r w:rsidR="00896CB6" w:rsidRPr="0093183F">
        <w:t>still</w:t>
      </w:r>
      <w:r w:rsidR="0058098A" w:rsidRPr="0093183F">
        <w:t xml:space="preserve"> an expec</w:t>
      </w:r>
      <w:r w:rsidR="003B0235" w:rsidRPr="0093183F">
        <w:t xml:space="preserve">tation that </w:t>
      </w:r>
      <w:r w:rsidR="00C92395" w:rsidRPr="0093183F">
        <w:t xml:space="preserve">inflation </w:t>
      </w:r>
      <w:r w:rsidR="00B427FB" w:rsidRPr="0093183F">
        <w:t xml:space="preserve">reduces to </w:t>
      </w:r>
      <w:r w:rsidR="00663A91" w:rsidRPr="0093183F">
        <w:t xml:space="preserve">the Bank of </w:t>
      </w:r>
      <w:r w:rsidR="0093183F" w:rsidRPr="0093183F">
        <w:t>England’s</w:t>
      </w:r>
      <w:r w:rsidR="00663A91" w:rsidRPr="0093183F">
        <w:t xml:space="preserve"> 2% target from </w:t>
      </w:r>
      <w:r w:rsidR="00161F37" w:rsidRPr="0093183F">
        <w:t xml:space="preserve">2026 onwards as shown in the chart below. </w:t>
      </w:r>
      <w:r w:rsidR="00A67508" w:rsidRPr="0093183F">
        <w:t>Budgets f</w:t>
      </w:r>
      <w:r w:rsidR="373CA38C" w:rsidRPr="0093183F">
        <w:t xml:space="preserve">or most supplies and services </w:t>
      </w:r>
      <w:r w:rsidR="000842A3" w:rsidRPr="0093183F">
        <w:t>t</w:t>
      </w:r>
      <w:r w:rsidR="373CA38C" w:rsidRPr="0093183F">
        <w:t xml:space="preserve">he council purchases are cash limited and therefore any increase in inflation represents </w:t>
      </w:r>
      <w:r w:rsidR="424B9AC1" w:rsidRPr="0093183F">
        <w:t>real terms</w:t>
      </w:r>
      <w:r w:rsidR="373CA38C" w:rsidRPr="0093183F">
        <w:t xml:space="preserve"> c</w:t>
      </w:r>
      <w:r w:rsidR="5FDABC59" w:rsidRPr="0093183F">
        <w:t>ut for service managers.</w:t>
      </w:r>
      <w:r w:rsidR="373CA38C" w:rsidRPr="0093183F">
        <w:t xml:space="preserve"> </w:t>
      </w:r>
    </w:p>
    <w:p w14:paraId="4E9935CD" w14:textId="77777777" w:rsidR="00E44ACD" w:rsidRDefault="00E44ACD" w:rsidP="00E44ACD">
      <w:pPr>
        <w:ind w:right="386"/>
      </w:pPr>
    </w:p>
    <w:p w14:paraId="26A73B96" w14:textId="77777777" w:rsidR="00E44ACD" w:rsidRDefault="00E44ACD" w:rsidP="00E44ACD">
      <w:pPr>
        <w:ind w:right="386"/>
      </w:pPr>
    </w:p>
    <w:p w14:paraId="05A8DA94" w14:textId="77777777" w:rsidR="00E44ACD" w:rsidRDefault="00E44ACD" w:rsidP="00E44ACD">
      <w:pPr>
        <w:ind w:right="386"/>
      </w:pPr>
    </w:p>
    <w:p w14:paraId="64DB0120" w14:textId="77777777" w:rsidR="00E44ACD" w:rsidRDefault="00E44ACD" w:rsidP="00E44ACD">
      <w:pPr>
        <w:ind w:right="386"/>
      </w:pPr>
    </w:p>
    <w:p w14:paraId="2F430F0F" w14:textId="77777777" w:rsidR="00E44ACD" w:rsidRDefault="00E44ACD" w:rsidP="00E44ACD">
      <w:pPr>
        <w:ind w:right="386"/>
      </w:pPr>
    </w:p>
    <w:p w14:paraId="77357BE7" w14:textId="77777777" w:rsidR="00E44ACD" w:rsidRDefault="00E44ACD" w:rsidP="00E44ACD">
      <w:pPr>
        <w:ind w:right="386"/>
      </w:pPr>
    </w:p>
    <w:p w14:paraId="666AB256" w14:textId="77777777" w:rsidR="00E44ACD" w:rsidRDefault="00E44ACD" w:rsidP="00E44ACD">
      <w:pPr>
        <w:ind w:right="386"/>
      </w:pPr>
    </w:p>
    <w:p w14:paraId="433FBB72" w14:textId="77777777" w:rsidR="00E44ACD" w:rsidRDefault="00E44ACD" w:rsidP="00E44ACD">
      <w:pPr>
        <w:ind w:right="386"/>
      </w:pPr>
    </w:p>
    <w:p w14:paraId="473B41C2" w14:textId="77777777" w:rsidR="00E44ACD" w:rsidRDefault="00E44ACD" w:rsidP="00E44ACD">
      <w:pPr>
        <w:ind w:right="386"/>
      </w:pPr>
    </w:p>
    <w:p w14:paraId="5C8B895B" w14:textId="77777777" w:rsidR="00E44ACD" w:rsidRDefault="00E44ACD" w:rsidP="00E44ACD">
      <w:pPr>
        <w:ind w:right="386"/>
      </w:pPr>
    </w:p>
    <w:p w14:paraId="4ABB3A41" w14:textId="77777777" w:rsidR="00E44ACD" w:rsidRPr="0093183F" w:rsidRDefault="00E44ACD" w:rsidP="00E44ACD">
      <w:pPr>
        <w:ind w:right="386"/>
      </w:pPr>
    </w:p>
    <w:p w14:paraId="79E82F51" w14:textId="2FF39980" w:rsidR="78AF1851" w:rsidRPr="0093183F" w:rsidRDefault="78AF1851" w:rsidP="78AF1851">
      <w:pPr>
        <w:pStyle w:val="ListParagraph"/>
        <w:ind w:right="386" w:hanging="720"/>
      </w:pPr>
    </w:p>
    <w:p w14:paraId="6CFD31A7" w14:textId="7833180D" w:rsidR="001B71E1" w:rsidRPr="0093183F" w:rsidRDefault="002A51B8" w:rsidP="001B71E1">
      <w:pPr>
        <w:pStyle w:val="ListParagraph"/>
        <w:ind w:left="709" w:right="386"/>
        <w:rPr>
          <w:b/>
        </w:rPr>
      </w:pPr>
      <w:r>
        <w:rPr>
          <w:b/>
        </w:rPr>
        <w:t xml:space="preserve">Picture </w:t>
      </w:r>
      <w:r w:rsidR="00ED2696" w:rsidRPr="0093183F">
        <w:rPr>
          <w:b/>
        </w:rPr>
        <w:t>2</w:t>
      </w:r>
      <w:r w:rsidR="00F66C46" w:rsidRPr="0093183F">
        <w:rPr>
          <w:b/>
        </w:rPr>
        <w:t>:</w:t>
      </w:r>
      <w:r w:rsidR="00413090" w:rsidRPr="0093183F">
        <w:rPr>
          <w:b/>
        </w:rPr>
        <w:t xml:space="preserve"> Inflation </w:t>
      </w:r>
      <w:r w:rsidR="0087246B" w:rsidRPr="0093183F">
        <w:rPr>
          <w:b/>
        </w:rPr>
        <w:t>Forecasts</w:t>
      </w:r>
      <w:r w:rsidR="006665D5" w:rsidRPr="0093183F">
        <w:rPr>
          <w:b/>
        </w:rPr>
        <w:t xml:space="preserve"> -Office for budget Responsibility</w:t>
      </w:r>
    </w:p>
    <w:p w14:paraId="4DD918BB" w14:textId="03471AEB" w:rsidR="006641F9" w:rsidRPr="0093183F" w:rsidRDefault="006641F9" w:rsidP="006641F9">
      <w:pPr>
        <w:ind w:right="386"/>
      </w:pPr>
    </w:p>
    <w:p w14:paraId="7FC9FEBA" w14:textId="77777777" w:rsidR="008009B9" w:rsidRPr="0093183F" w:rsidRDefault="008009B9" w:rsidP="00807F9F">
      <w:pPr>
        <w:rPr>
          <w:b/>
        </w:rPr>
      </w:pPr>
    </w:p>
    <w:p w14:paraId="01AC3526" w14:textId="2511C427" w:rsidR="008009B9" w:rsidRPr="00572DC5" w:rsidRDefault="0050772A" w:rsidP="00807F9F">
      <w:pPr>
        <w:rPr>
          <w:b/>
          <w:highlight w:val="yellow"/>
        </w:rPr>
      </w:pPr>
      <w:r>
        <w:rPr>
          <w:noProof/>
        </w:rPr>
        <w:drawing>
          <wp:inline distT="0" distB="0" distL="0" distR="0" wp14:anchorId="359ED620" wp14:editId="7E0790B3">
            <wp:extent cx="5848350" cy="3002915"/>
            <wp:effectExtent l="0" t="0" r="0" b="6985"/>
            <wp:docPr id="1857890681"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890681" name="Picture 1" descr="A graph with numbers and lines&#10;&#10;AI-generated content may be incorrect."/>
                    <pic:cNvPicPr/>
                  </pic:nvPicPr>
                  <pic:blipFill>
                    <a:blip r:embed="rId13"/>
                    <a:stretch>
                      <a:fillRect/>
                    </a:stretch>
                  </pic:blipFill>
                  <pic:spPr>
                    <a:xfrm>
                      <a:off x="0" y="0"/>
                      <a:ext cx="5857744" cy="3007738"/>
                    </a:xfrm>
                    <a:prstGeom prst="rect">
                      <a:avLst/>
                    </a:prstGeom>
                  </pic:spPr>
                </pic:pic>
              </a:graphicData>
            </a:graphic>
          </wp:inline>
        </w:drawing>
      </w:r>
    </w:p>
    <w:p w14:paraId="2E867BCB" w14:textId="77777777" w:rsidR="0050772A" w:rsidRDefault="0050772A" w:rsidP="00807F9F">
      <w:pPr>
        <w:rPr>
          <w:b/>
          <w:highlight w:val="yellow"/>
        </w:rPr>
      </w:pPr>
    </w:p>
    <w:p w14:paraId="772F21D2" w14:textId="77777777" w:rsidR="0050772A" w:rsidRDefault="0050772A" w:rsidP="00807F9F">
      <w:pPr>
        <w:rPr>
          <w:b/>
          <w:highlight w:val="yellow"/>
        </w:rPr>
      </w:pPr>
    </w:p>
    <w:p w14:paraId="13D9A47D" w14:textId="77777777" w:rsidR="0050772A" w:rsidRDefault="0050772A" w:rsidP="00807F9F">
      <w:pPr>
        <w:rPr>
          <w:b/>
          <w:highlight w:val="yellow"/>
        </w:rPr>
      </w:pPr>
    </w:p>
    <w:p w14:paraId="64A9BFDA" w14:textId="66317EC8" w:rsidR="00140D1A" w:rsidRPr="009A3E11" w:rsidRDefault="00140D1A" w:rsidP="00807F9F">
      <w:pPr>
        <w:rPr>
          <w:b/>
        </w:rPr>
      </w:pPr>
      <w:r w:rsidRPr="009A3E11">
        <w:rPr>
          <w:b/>
        </w:rPr>
        <w:t>Interest Rate Forecasts</w:t>
      </w:r>
    </w:p>
    <w:p w14:paraId="2AB4A669" w14:textId="77777777" w:rsidR="00134321" w:rsidRPr="009A3E11" w:rsidRDefault="00134321" w:rsidP="00807F9F">
      <w:pPr>
        <w:pStyle w:val="ListParagraph"/>
        <w:ind w:left="709"/>
        <w:rPr>
          <w:b/>
        </w:rPr>
      </w:pPr>
    </w:p>
    <w:p w14:paraId="5415BFF9" w14:textId="146C53A8" w:rsidR="00832D29" w:rsidRPr="009A3E11" w:rsidRDefault="00832D29" w:rsidP="00712800">
      <w:pPr>
        <w:pStyle w:val="ListParagraph"/>
        <w:numPr>
          <w:ilvl w:val="0"/>
          <w:numId w:val="35"/>
        </w:numPr>
        <w:ind w:hanging="720"/>
      </w:pPr>
      <w:r w:rsidRPr="009A3E11">
        <w:t xml:space="preserve">On the </w:t>
      </w:r>
      <w:r w:rsidR="00F335DC">
        <w:t>6</w:t>
      </w:r>
      <w:r w:rsidR="00F335DC" w:rsidRPr="00F335DC">
        <w:rPr>
          <w:vertAlign w:val="superscript"/>
        </w:rPr>
        <w:t>th</w:t>
      </w:r>
      <w:r w:rsidR="00F335DC">
        <w:t xml:space="preserve"> November</w:t>
      </w:r>
      <w:r w:rsidR="434DEFC9" w:rsidRPr="009A3E11">
        <w:t xml:space="preserve"> </w:t>
      </w:r>
      <w:r w:rsidRPr="009A3E11">
        <w:t>202</w:t>
      </w:r>
      <w:r w:rsidR="008D58FF" w:rsidRPr="009A3E11">
        <w:t>5</w:t>
      </w:r>
      <w:r w:rsidRPr="009A3E11">
        <w:t xml:space="preserve"> t</w:t>
      </w:r>
      <w:r w:rsidR="00140D1A" w:rsidRPr="009A3E11">
        <w:t xml:space="preserve">he Bank of England </w:t>
      </w:r>
      <w:r w:rsidR="008D58FF" w:rsidRPr="009A3E11">
        <w:t>mai</w:t>
      </w:r>
      <w:r w:rsidR="00CF0381" w:rsidRPr="009A3E11">
        <w:t>ntained</w:t>
      </w:r>
      <w:r w:rsidR="00390953" w:rsidRPr="009A3E11">
        <w:t xml:space="preserve"> base rates </w:t>
      </w:r>
      <w:r w:rsidR="00CF0381" w:rsidRPr="009A3E11">
        <w:t>at 4</w:t>
      </w:r>
      <w:r w:rsidR="3EE9F096" w:rsidRPr="009A3E11">
        <w:t>.</w:t>
      </w:r>
      <w:r w:rsidR="2C6FBCE5" w:rsidRPr="009A3E11">
        <w:t>00</w:t>
      </w:r>
      <w:r w:rsidR="3EE9F096" w:rsidRPr="009A3E11">
        <w:t>%</w:t>
      </w:r>
      <w:r w:rsidR="00CF0381" w:rsidRPr="009A3E11">
        <w:t xml:space="preserve">, </w:t>
      </w:r>
      <w:r w:rsidR="5147A6B7" w:rsidRPr="009A3E11">
        <w:t xml:space="preserve"> </w:t>
      </w:r>
      <w:r w:rsidR="00B13B21" w:rsidRPr="009A3E11">
        <w:t xml:space="preserve">where it has been since </w:t>
      </w:r>
      <w:r w:rsidR="007440C1" w:rsidRPr="009A3E11">
        <w:t xml:space="preserve">the last reduction in </w:t>
      </w:r>
      <w:r w:rsidR="00B13B21" w:rsidRPr="009A3E11">
        <w:t>August</w:t>
      </w:r>
      <w:r w:rsidR="007440C1" w:rsidRPr="009A3E11">
        <w:t>.</w:t>
      </w:r>
      <w:r w:rsidR="00B13B21" w:rsidRPr="009A3E11">
        <w:t xml:space="preserve"> </w:t>
      </w:r>
      <w:r w:rsidR="3EE9F096" w:rsidRPr="009A3E11">
        <w:t xml:space="preserve"> </w:t>
      </w:r>
      <w:r w:rsidR="00323252" w:rsidRPr="009A3E11">
        <w:t xml:space="preserve">MUFG </w:t>
      </w:r>
      <w:r w:rsidR="004E4814" w:rsidRPr="009A3E11">
        <w:t>Investor Services</w:t>
      </w:r>
      <w:r w:rsidR="00710175" w:rsidRPr="009A3E11">
        <w:t xml:space="preserve"> and Capital Economics</w:t>
      </w:r>
      <w:r w:rsidRPr="009A3E11">
        <w:t xml:space="preserve">, </w:t>
      </w:r>
      <w:r w:rsidR="00696C33" w:rsidRPr="009A3E11">
        <w:t xml:space="preserve">two of the leading </w:t>
      </w:r>
      <w:r w:rsidR="001515CE" w:rsidRPr="009A3E11">
        <w:t xml:space="preserve">advisors </w:t>
      </w:r>
      <w:r w:rsidR="008E6AF4" w:rsidRPr="009A3E11">
        <w:t xml:space="preserve">on Treasury related matters, </w:t>
      </w:r>
      <w:r w:rsidRPr="009A3E11">
        <w:t>have given their view on interest rate forecasts as shown below:</w:t>
      </w:r>
    </w:p>
    <w:p w14:paraId="181B9EE3" w14:textId="77777777" w:rsidR="00E60DBF" w:rsidRPr="009A3E11" w:rsidRDefault="00E60DBF" w:rsidP="00E60DBF">
      <w:pPr>
        <w:pStyle w:val="ListParagraph"/>
      </w:pPr>
    </w:p>
    <w:p w14:paraId="2076C32B" w14:textId="26F02866" w:rsidR="00CC38AB" w:rsidRPr="009A3E11" w:rsidRDefault="1278DF05" w:rsidP="60EA432F">
      <w:pPr>
        <w:pStyle w:val="ListParagraph"/>
        <w:ind w:left="709"/>
        <w:rPr>
          <w:b/>
          <w:bCs/>
        </w:rPr>
      </w:pPr>
      <w:r w:rsidRPr="009A3E11">
        <w:rPr>
          <w:b/>
          <w:bCs/>
        </w:rPr>
        <w:t xml:space="preserve">Table </w:t>
      </w:r>
      <w:r w:rsidR="002A51B8">
        <w:rPr>
          <w:b/>
          <w:bCs/>
        </w:rPr>
        <w:t>1</w:t>
      </w:r>
      <w:r w:rsidR="34F71054" w:rsidRPr="009A3E11">
        <w:rPr>
          <w:b/>
          <w:bCs/>
        </w:rPr>
        <w:t>: Interest rate forecasts f</w:t>
      </w:r>
      <w:r w:rsidR="332F7A22" w:rsidRPr="009A3E11">
        <w:rPr>
          <w:b/>
          <w:bCs/>
        </w:rPr>
        <w:t xml:space="preserve">rom December </w:t>
      </w:r>
      <w:r w:rsidR="34F71054" w:rsidRPr="009A3E11">
        <w:rPr>
          <w:b/>
          <w:bCs/>
        </w:rPr>
        <w:t>202</w:t>
      </w:r>
      <w:r w:rsidR="008E6AF4" w:rsidRPr="009A3E11">
        <w:rPr>
          <w:b/>
          <w:bCs/>
        </w:rPr>
        <w:t>5</w:t>
      </w:r>
      <w:r w:rsidR="34F71054" w:rsidRPr="009A3E11">
        <w:rPr>
          <w:b/>
          <w:bCs/>
        </w:rPr>
        <w:t xml:space="preserve"> to </w:t>
      </w:r>
      <w:r w:rsidR="008E6AF4" w:rsidRPr="009A3E11">
        <w:rPr>
          <w:b/>
          <w:bCs/>
        </w:rPr>
        <w:t xml:space="preserve">September </w:t>
      </w:r>
      <w:r w:rsidR="5D6E00C5" w:rsidRPr="009A3E11">
        <w:rPr>
          <w:b/>
          <w:bCs/>
        </w:rPr>
        <w:t>202</w:t>
      </w:r>
      <w:r w:rsidR="1F9B37FE" w:rsidRPr="009A3E11">
        <w:rPr>
          <w:b/>
          <w:bCs/>
        </w:rPr>
        <w:t>7</w:t>
      </w:r>
    </w:p>
    <w:p w14:paraId="4422C496" w14:textId="77777777" w:rsidR="0035318C" w:rsidRPr="009A3E11" w:rsidRDefault="0035318C" w:rsidP="0035318C">
      <w:pPr>
        <w:rPr>
          <w:b/>
          <w:bCs/>
        </w:rPr>
      </w:pPr>
    </w:p>
    <w:p w14:paraId="64903B4B" w14:textId="46D92890" w:rsidR="0035318C" w:rsidRPr="009A3E11" w:rsidRDefault="0035318C" w:rsidP="0035318C">
      <w:pPr>
        <w:rPr>
          <w:b/>
          <w:bCs/>
        </w:rPr>
      </w:pPr>
      <w:r w:rsidRPr="009A3E11">
        <w:rPr>
          <w:noProof/>
        </w:rPr>
        <w:drawing>
          <wp:inline distT="0" distB="0" distL="0" distR="0" wp14:anchorId="13F5F195" wp14:editId="29756F7B">
            <wp:extent cx="6022975" cy="570865"/>
            <wp:effectExtent l="0" t="0" r="0" b="635"/>
            <wp:docPr id="763696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96523" name=""/>
                    <pic:cNvPicPr/>
                  </pic:nvPicPr>
                  <pic:blipFill>
                    <a:blip r:embed="rId14"/>
                    <a:stretch>
                      <a:fillRect/>
                    </a:stretch>
                  </pic:blipFill>
                  <pic:spPr>
                    <a:xfrm>
                      <a:off x="0" y="0"/>
                      <a:ext cx="6022975" cy="570865"/>
                    </a:xfrm>
                    <a:prstGeom prst="rect">
                      <a:avLst/>
                    </a:prstGeom>
                  </pic:spPr>
                </pic:pic>
              </a:graphicData>
            </a:graphic>
          </wp:inline>
        </w:drawing>
      </w:r>
    </w:p>
    <w:p w14:paraId="4F499F96" w14:textId="6E770A0E" w:rsidR="00832D29" w:rsidRPr="009A3E11" w:rsidRDefault="00832D29" w:rsidP="1EDB5DC6">
      <w:pPr>
        <w:rPr>
          <w:b/>
        </w:rPr>
      </w:pPr>
    </w:p>
    <w:p w14:paraId="38B92787" w14:textId="03D86BDA" w:rsidR="0026660B" w:rsidRPr="009A3E11" w:rsidRDefault="0026660B" w:rsidP="1EDB5DC6"/>
    <w:p w14:paraId="1858824A" w14:textId="2938C4D6" w:rsidR="00832D29" w:rsidRPr="009A3E11" w:rsidRDefault="009707E6" w:rsidP="00712800">
      <w:pPr>
        <w:pStyle w:val="ListParagraph"/>
        <w:numPr>
          <w:ilvl w:val="0"/>
          <w:numId w:val="35"/>
        </w:numPr>
        <w:ind w:hanging="720"/>
      </w:pPr>
      <w:r w:rsidRPr="009A3E11">
        <w:t>Whilst the hold in base rates has been welcome news the Bank of England Gov</w:t>
      </w:r>
      <w:r w:rsidR="0055458B" w:rsidRPr="009A3E11">
        <w:t>ernor warned ‘w</w:t>
      </w:r>
      <w:r w:rsidR="00A10147" w:rsidRPr="009A3E11">
        <w:t>e’re not out of the woods yet’</w:t>
      </w:r>
      <w:r w:rsidR="009F10C1" w:rsidRPr="009A3E11">
        <w:t xml:space="preserve">. </w:t>
      </w:r>
      <w:r w:rsidR="00FA43CB" w:rsidRPr="009A3E11">
        <w:t xml:space="preserve">Analysts had not expected </w:t>
      </w:r>
      <w:r w:rsidR="00D92C32" w:rsidRPr="009A3E11">
        <w:t xml:space="preserve">interest rates to be cut given that prices are rising at </w:t>
      </w:r>
      <w:r w:rsidR="00BF30E4" w:rsidRPr="009A3E11">
        <w:t>nearly</w:t>
      </w:r>
      <w:r w:rsidR="00D92C32" w:rsidRPr="009A3E11">
        <w:t xml:space="preserve"> twice the banks target rate</w:t>
      </w:r>
      <w:r w:rsidR="00195BF4" w:rsidRPr="009A3E11">
        <w:t>, but</w:t>
      </w:r>
      <w:r w:rsidR="00BF30E4" w:rsidRPr="009A3E11">
        <w:t xml:space="preserve"> the Bank </w:t>
      </w:r>
      <w:r w:rsidR="00787F44" w:rsidRPr="009A3E11">
        <w:t xml:space="preserve">did say that it </w:t>
      </w:r>
      <w:r w:rsidR="00BF30E4" w:rsidRPr="009A3E11">
        <w:t>expected</w:t>
      </w:r>
      <w:r w:rsidR="00787F44" w:rsidRPr="009A3E11">
        <w:t xml:space="preserve"> infl</w:t>
      </w:r>
      <w:r w:rsidR="00A424B3" w:rsidRPr="009A3E11">
        <w:t>a</w:t>
      </w:r>
      <w:r w:rsidR="00787F44" w:rsidRPr="009A3E11">
        <w:t>ti</w:t>
      </w:r>
      <w:r w:rsidR="009A3E11" w:rsidRPr="009A3E11">
        <w:t>o</w:t>
      </w:r>
      <w:r w:rsidR="00787F44" w:rsidRPr="009A3E11">
        <w:t>n to return to</w:t>
      </w:r>
      <w:r w:rsidR="00BF30E4" w:rsidRPr="009A3E11">
        <w:t xml:space="preserve"> </w:t>
      </w:r>
      <w:r w:rsidR="00787F44" w:rsidRPr="009A3E11">
        <w:t>its key target of 2%</w:t>
      </w:r>
      <w:r w:rsidR="00A424B3" w:rsidRPr="009A3E11">
        <w:t xml:space="preserve">. </w:t>
      </w:r>
      <w:r w:rsidR="0E8E39D1" w:rsidRPr="009A3E11">
        <w:t xml:space="preserve"> </w:t>
      </w:r>
      <w:r w:rsidR="00832D29" w:rsidRPr="009A3E11">
        <w:t xml:space="preserve"> </w:t>
      </w:r>
    </w:p>
    <w:p w14:paraId="68C875F1" w14:textId="77777777" w:rsidR="00832D29" w:rsidRPr="009A3E11" w:rsidRDefault="00832D29" w:rsidP="00446063">
      <w:pPr>
        <w:pStyle w:val="ListParagraph"/>
        <w:ind w:left="709" w:hanging="720"/>
      </w:pPr>
    </w:p>
    <w:p w14:paraId="6C21A6D0" w14:textId="405F2543" w:rsidR="00212320" w:rsidRPr="009A3E11" w:rsidRDefault="007D5831" w:rsidP="00712800">
      <w:pPr>
        <w:pStyle w:val="ListParagraph"/>
        <w:numPr>
          <w:ilvl w:val="0"/>
          <w:numId w:val="35"/>
        </w:numPr>
        <w:ind w:hanging="720"/>
      </w:pPr>
      <w:r w:rsidRPr="004B5183">
        <w:t xml:space="preserve">The </w:t>
      </w:r>
      <w:r w:rsidR="26D8949D" w:rsidRPr="004B5183">
        <w:t>council holds £2</w:t>
      </w:r>
      <w:r w:rsidR="004B5183" w:rsidRPr="004B5183">
        <w:t>88</w:t>
      </w:r>
      <w:r w:rsidR="26D8949D" w:rsidRPr="004B5183">
        <w:t xml:space="preserve"> million of external </w:t>
      </w:r>
      <w:r w:rsidRPr="004B5183">
        <w:t xml:space="preserve">debt </w:t>
      </w:r>
      <w:r w:rsidR="004B5183" w:rsidRPr="004B5183">
        <w:t>all</w:t>
      </w:r>
      <w:r w:rsidRPr="004B5183">
        <w:t xml:space="preserve"> in respect of HRA self-financing taken out in April 2012</w:t>
      </w:r>
      <w:r w:rsidR="7685B1FE" w:rsidRPr="004B5183">
        <w:t>.</w:t>
      </w:r>
      <w:r w:rsidRPr="004B5183">
        <w:t xml:space="preserve"> The Council</w:t>
      </w:r>
      <w:r w:rsidRPr="009A3E11">
        <w:t xml:space="preserve"> capital programme is heavily financed by borrowing although the Council currently uses internal funds, as </w:t>
      </w:r>
      <w:r w:rsidR="00962190" w:rsidRPr="009A3E11">
        <w:t xml:space="preserve">these are </w:t>
      </w:r>
      <w:r w:rsidRPr="009A3E11">
        <w:t>the cheapest form of borrowing</w:t>
      </w:r>
      <w:r w:rsidR="002F1211" w:rsidRPr="009A3E11">
        <w:t>. A</w:t>
      </w:r>
      <w:r w:rsidRPr="009A3E11">
        <w:t xml:space="preserve">s the Capital Financing Requirement </w:t>
      </w:r>
      <w:r w:rsidR="15650F67" w:rsidRPr="009A3E11">
        <w:t xml:space="preserve">(the underlying need to borrow to fund the capital programme) </w:t>
      </w:r>
      <w:r w:rsidRPr="009A3E11">
        <w:t xml:space="preserve">increases so will the need to undertake external borrowing. </w:t>
      </w:r>
    </w:p>
    <w:p w14:paraId="43AD05EA" w14:textId="77777777" w:rsidR="007C79C3" w:rsidRPr="00603A54" w:rsidRDefault="007C79C3" w:rsidP="007C79C3">
      <w:pPr>
        <w:pStyle w:val="ListParagraph"/>
      </w:pPr>
    </w:p>
    <w:p w14:paraId="52D0A071" w14:textId="2317E6F4" w:rsidR="00134321" w:rsidRPr="00603A54" w:rsidRDefault="00AA5C0D" w:rsidP="5BF55D41">
      <w:pPr>
        <w:pStyle w:val="Default"/>
        <w:rPr>
          <w:b/>
        </w:rPr>
      </w:pPr>
      <w:r w:rsidRPr="00603A54">
        <w:rPr>
          <w:b/>
          <w:bCs/>
        </w:rPr>
        <w:t xml:space="preserve">Autumn </w:t>
      </w:r>
      <w:r w:rsidR="7C911961" w:rsidRPr="00603A54">
        <w:rPr>
          <w:b/>
          <w:bCs/>
        </w:rPr>
        <w:t xml:space="preserve">Budget and Spending Review </w:t>
      </w:r>
      <w:r w:rsidR="00134321" w:rsidRPr="00603A54">
        <w:rPr>
          <w:b/>
          <w:bCs/>
        </w:rPr>
        <w:t>202</w:t>
      </w:r>
      <w:r w:rsidR="004B1702" w:rsidRPr="00603A54">
        <w:rPr>
          <w:b/>
          <w:bCs/>
        </w:rPr>
        <w:t>5</w:t>
      </w:r>
    </w:p>
    <w:p w14:paraId="28A7FC4C" w14:textId="77777777" w:rsidR="00134321" w:rsidRPr="00603A54" w:rsidRDefault="00134321" w:rsidP="00134321">
      <w:pPr>
        <w:pStyle w:val="Default"/>
        <w:rPr>
          <w:b/>
        </w:rPr>
      </w:pPr>
    </w:p>
    <w:p w14:paraId="580A811A" w14:textId="77777777" w:rsidR="000177D1" w:rsidRDefault="005E3298" w:rsidP="00712800">
      <w:pPr>
        <w:pStyle w:val="ListParagraph"/>
        <w:numPr>
          <w:ilvl w:val="0"/>
          <w:numId w:val="35"/>
        </w:numPr>
        <w:ind w:right="386" w:hanging="720"/>
      </w:pPr>
      <w:r>
        <w:lastRenderedPageBreak/>
        <w:t xml:space="preserve">In </w:t>
      </w:r>
      <w:r w:rsidR="00E86B4A">
        <w:t xml:space="preserve">the period </w:t>
      </w:r>
      <w:r>
        <w:t xml:space="preserve">June 2025 </w:t>
      </w:r>
      <w:r w:rsidR="00E86B4A">
        <w:t xml:space="preserve">to August 2025 </w:t>
      </w:r>
      <w:r>
        <w:t xml:space="preserve">the </w:t>
      </w:r>
      <w:r w:rsidR="006220E5">
        <w:t xml:space="preserve">Government </w:t>
      </w:r>
      <w:r w:rsidR="00E86B4A">
        <w:t xml:space="preserve">ran a </w:t>
      </w:r>
      <w:r w:rsidR="00D141FE">
        <w:t xml:space="preserve">number of </w:t>
      </w:r>
      <w:r w:rsidR="00303048">
        <w:t>consultation</w:t>
      </w:r>
      <w:r w:rsidR="008340FF">
        <w:t xml:space="preserve">s </w:t>
      </w:r>
      <w:r w:rsidR="006220E5">
        <w:t>o</w:t>
      </w:r>
      <w:r w:rsidR="00303048">
        <w:t>n</w:t>
      </w:r>
      <w:r w:rsidR="006220E5">
        <w:t xml:space="preserve"> </w:t>
      </w:r>
    </w:p>
    <w:p w14:paraId="378118B4" w14:textId="79CE414E" w:rsidR="007D545D" w:rsidRDefault="006220E5" w:rsidP="00712800">
      <w:pPr>
        <w:pStyle w:val="ListParagraph"/>
        <w:numPr>
          <w:ilvl w:val="0"/>
          <w:numId w:val="31"/>
        </w:numPr>
        <w:ind w:right="386"/>
      </w:pPr>
      <w:r w:rsidRPr="005655B7">
        <w:rPr>
          <w:b/>
          <w:bCs/>
        </w:rPr>
        <w:t xml:space="preserve">Fairer Funding </w:t>
      </w:r>
      <w:r w:rsidR="00B157E8" w:rsidRPr="005655B7">
        <w:rPr>
          <w:b/>
          <w:bCs/>
        </w:rPr>
        <w:t>2.0</w:t>
      </w:r>
      <w:r w:rsidR="005655B7" w:rsidRPr="005655B7">
        <w:rPr>
          <w:b/>
          <w:bCs/>
        </w:rPr>
        <w:t>.</w:t>
      </w:r>
      <w:r w:rsidR="00B157E8">
        <w:t xml:space="preserve"> The </w:t>
      </w:r>
      <w:r w:rsidR="00303048">
        <w:t xml:space="preserve">consultation </w:t>
      </w:r>
      <w:r w:rsidR="009A6A2E">
        <w:t xml:space="preserve">sought views on the approach to </w:t>
      </w:r>
      <w:r w:rsidR="00DF788A">
        <w:t>determining</w:t>
      </w:r>
      <w:r w:rsidR="009A6A2E">
        <w:t xml:space="preserve"> new funding allocations for local authorities </w:t>
      </w:r>
      <w:r w:rsidR="00DF788A">
        <w:t xml:space="preserve">with </w:t>
      </w:r>
      <w:r w:rsidR="000B5DB9">
        <w:t>specific</w:t>
      </w:r>
      <w:r w:rsidR="00DF788A">
        <w:t xml:space="preserve"> </w:t>
      </w:r>
      <w:r w:rsidR="007D545D">
        <w:t xml:space="preserve">reference </w:t>
      </w:r>
      <w:r w:rsidR="001502EB">
        <w:t>to</w:t>
      </w:r>
      <w:r w:rsidR="007D545D">
        <w:t xml:space="preserve"> a number of areas </w:t>
      </w:r>
      <w:r w:rsidR="00423458">
        <w:t>including:</w:t>
      </w:r>
    </w:p>
    <w:p w14:paraId="136DA692" w14:textId="77777777" w:rsidR="007D545D" w:rsidRDefault="007D545D" w:rsidP="007D545D">
      <w:pPr>
        <w:pStyle w:val="ListParagraph"/>
        <w:ind w:right="386"/>
      </w:pPr>
    </w:p>
    <w:p w14:paraId="29852751" w14:textId="5FBF34BB" w:rsidR="00C13455" w:rsidRDefault="00C13455" w:rsidP="00712800">
      <w:pPr>
        <w:pStyle w:val="ListParagraph"/>
        <w:numPr>
          <w:ilvl w:val="0"/>
          <w:numId w:val="30"/>
        </w:numPr>
        <w:ind w:right="386"/>
      </w:pPr>
      <w:r>
        <w:t>Determining local authority funding allocations</w:t>
      </w:r>
    </w:p>
    <w:p w14:paraId="267EBCF0" w14:textId="7DB2BBD7" w:rsidR="007D545D" w:rsidRDefault="00C13455" w:rsidP="00712800">
      <w:pPr>
        <w:pStyle w:val="ListParagraph"/>
        <w:numPr>
          <w:ilvl w:val="0"/>
          <w:numId w:val="30"/>
        </w:numPr>
        <w:ind w:right="386"/>
      </w:pPr>
      <w:r>
        <w:t>Measuring differences in demand for services and the cost of delivering them</w:t>
      </w:r>
    </w:p>
    <w:p w14:paraId="0DE80983" w14:textId="59D283AF" w:rsidR="00C13455" w:rsidRDefault="00C13455" w:rsidP="00712800">
      <w:pPr>
        <w:pStyle w:val="ListParagraph"/>
        <w:numPr>
          <w:ilvl w:val="0"/>
          <w:numId w:val="30"/>
        </w:numPr>
        <w:ind w:right="386"/>
      </w:pPr>
      <w:r>
        <w:t>Measuring differences in local available resources</w:t>
      </w:r>
    </w:p>
    <w:p w14:paraId="26A63696" w14:textId="48D38CBB" w:rsidR="00C13455" w:rsidRDefault="00C13455" w:rsidP="00712800">
      <w:pPr>
        <w:pStyle w:val="ListParagraph"/>
        <w:numPr>
          <w:ilvl w:val="0"/>
          <w:numId w:val="30"/>
        </w:numPr>
        <w:ind w:right="386"/>
      </w:pPr>
      <w:r>
        <w:t>New Homes Bonus</w:t>
      </w:r>
    </w:p>
    <w:p w14:paraId="59A6B734" w14:textId="14352890" w:rsidR="00C13455" w:rsidRDefault="00C13455" w:rsidP="00712800">
      <w:pPr>
        <w:pStyle w:val="ListParagraph"/>
        <w:numPr>
          <w:ilvl w:val="0"/>
          <w:numId w:val="30"/>
        </w:numPr>
        <w:ind w:right="386"/>
      </w:pPr>
      <w:r>
        <w:t>Transitional arrangement and keeping allocations up to date</w:t>
      </w:r>
    </w:p>
    <w:p w14:paraId="68FF4085" w14:textId="06E224F8" w:rsidR="00C13455" w:rsidRDefault="00C13455" w:rsidP="00712800">
      <w:pPr>
        <w:pStyle w:val="ListParagraph"/>
        <w:numPr>
          <w:ilvl w:val="0"/>
          <w:numId w:val="30"/>
        </w:numPr>
        <w:ind w:right="386"/>
      </w:pPr>
      <w:r>
        <w:t xml:space="preserve">The </w:t>
      </w:r>
      <w:r w:rsidR="00423458">
        <w:t>long-term</w:t>
      </w:r>
      <w:r>
        <w:t xml:space="preserve"> approach to the business rates </w:t>
      </w:r>
      <w:r w:rsidR="001502EB">
        <w:t>retention</w:t>
      </w:r>
      <w:r>
        <w:t xml:space="preserve"> system</w:t>
      </w:r>
    </w:p>
    <w:p w14:paraId="2C636E93" w14:textId="77777777" w:rsidR="007D545D" w:rsidRDefault="007D545D" w:rsidP="007D545D">
      <w:pPr>
        <w:pStyle w:val="ListParagraph"/>
        <w:ind w:right="386"/>
      </w:pPr>
    </w:p>
    <w:p w14:paraId="0ADC56C4" w14:textId="477C28C4" w:rsidR="007C41CA" w:rsidRDefault="007C41CA" w:rsidP="00B353B8">
      <w:pPr>
        <w:pStyle w:val="ListParagraph"/>
        <w:ind w:left="1134" w:right="386"/>
      </w:pPr>
      <w:r>
        <w:t xml:space="preserve">There was no mention of the business rates reset </w:t>
      </w:r>
      <w:r w:rsidR="00B3737A">
        <w:t xml:space="preserve">which </w:t>
      </w:r>
      <w:r w:rsidR="002419CD">
        <w:t>will</w:t>
      </w:r>
      <w:r w:rsidR="00B3737A">
        <w:t xml:space="preserve"> determine new tariff and top up values </w:t>
      </w:r>
      <w:r w:rsidR="00D23945">
        <w:t xml:space="preserve">to match locally collectable </w:t>
      </w:r>
      <w:r w:rsidR="002419CD">
        <w:t>business</w:t>
      </w:r>
      <w:r w:rsidR="00D23945">
        <w:t xml:space="preserve"> rates to baselines.</w:t>
      </w:r>
    </w:p>
    <w:p w14:paraId="0355CC4E" w14:textId="77777777" w:rsidR="00D23945" w:rsidRDefault="00D23945" w:rsidP="00D23945">
      <w:pPr>
        <w:pStyle w:val="ListParagraph"/>
        <w:ind w:right="386"/>
      </w:pPr>
    </w:p>
    <w:p w14:paraId="18A7B322" w14:textId="3FCC5C2E" w:rsidR="008A0509" w:rsidRDefault="00BE4162" w:rsidP="00B353B8">
      <w:pPr>
        <w:pStyle w:val="ListParagraph"/>
        <w:ind w:left="1134" w:right="386"/>
      </w:pPr>
      <w:r>
        <w:t>A k</w:t>
      </w:r>
      <w:r w:rsidR="008A0509">
        <w:t>ey element of the consultation include</w:t>
      </w:r>
      <w:r w:rsidR="00D23945">
        <w:t>d</w:t>
      </w:r>
      <w:r>
        <w:t xml:space="preserve"> t</w:t>
      </w:r>
      <w:r w:rsidR="008A0509">
        <w:t xml:space="preserve">he </w:t>
      </w:r>
      <w:r w:rsidR="00423458">
        <w:t>Government’s</w:t>
      </w:r>
      <w:r w:rsidR="008563C4">
        <w:t xml:space="preserve"> intention to the rolling in</w:t>
      </w:r>
      <w:r w:rsidR="001C0175">
        <w:t xml:space="preserve"> further grants such</w:t>
      </w:r>
      <w:r>
        <w:t xml:space="preserve"> </w:t>
      </w:r>
      <w:r w:rsidR="001C0175">
        <w:t xml:space="preserve">as nearly £10 billion of social care funding into the Settlement Funding </w:t>
      </w:r>
      <w:r w:rsidR="00D866CD">
        <w:t>A</w:t>
      </w:r>
      <w:r w:rsidR="001C0175">
        <w:t>ssessment</w:t>
      </w:r>
      <w:r w:rsidR="00D866CD">
        <w:t xml:space="preserve"> </w:t>
      </w:r>
      <w:r w:rsidR="009F149A">
        <w:t>(</w:t>
      </w:r>
      <w:r w:rsidR="0025534C">
        <w:t>Relative</w:t>
      </w:r>
      <w:r w:rsidR="009F149A">
        <w:t xml:space="preserve"> Needs</w:t>
      </w:r>
      <w:r w:rsidR="0025534C">
        <w:t xml:space="preserve"> – relative resources = SFA) </w:t>
      </w:r>
      <w:r w:rsidR="00D866CD">
        <w:t>in effect subjecting them to the Fairer Funding process</w:t>
      </w:r>
      <w:r>
        <w:t>,</w:t>
      </w:r>
      <w:r w:rsidR="00D866CD">
        <w:t xml:space="preserve"> whereas currently such grants are in the main allocated to unitaries and County Councils</w:t>
      </w:r>
    </w:p>
    <w:p w14:paraId="350871C8" w14:textId="77777777" w:rsidR="0055239D" w:rsidRDefault="0055239D" w:rsidP="0055239D">
      <w:pPr>
        <w:pStyle w:val="ListParagraph"/>
        <w:ind w:right="386"/>
      </w:pPr>
    </w:p>
    <w:p w14:paraId="43605D92" w14:textId="66054E77" w:rsidR="00BE4162" w:rsidRDefault="004A3A65" w:rsidP="00712800">
      <w:pPr>
        <w:pStyle w:val="ListParagraph"/>
        <w:numPr>
          <w:ilvl w:val="0"/>
          <w:numId w:val="32"/>
        </w:numPr>
        <w:ind w:left="1134" w:right="386" w:hanging="425"/>
      </w:pPr>
      <w:r w:rsidRPr="004A3A65">
        <w:rPr>
          <w:b/>
          <w:bCs/>
        </w:rPr>
        <w:t>Homelessness prevention grant (HPG)</w:t>
      </w:r>
      <w:r>
        <w:t xml:space="preserve">- </w:t>
      </w:r>
      <w:r w:rsidR="00165894">
        <w:t xml:space="preserve">In June </w:t>
      </w:r>
      <w:r w:rsidR="00580D46">
        <w:t xml:space="preserve">2025 the Government launched a consultation on the funding arrangement for </w:t>
      </w:r>
      <w:r w:rsidR="00580D46" w:rsidRPr="00B353B8">
        <w:rPr>
          <w:b/>
          <w:bCs/>
        </w:rPr>
        <w:t>HPG</w:t>
      </w:r>
      <w:r w:rsidR="00580D46">
        <w:t xml:space="preserve"> from 2026-27 </w:t>
      </w:r>
      <w:r w:rsidR="001623D2">
        <w:t>onwards</w:t>
      </w:r>
      <w:r w:rsidR="00580D46">
        <w:t>. HPG is cu</w:t>
      </w:r>
      <w:r w:rsidR="00057540">
        <w:t>rrent</w:t>
      </w:r>
      <w:r w:rsidR="007A42F3">
        <w:t>ly allocate</w:t>
      </w:r>
      <w:r w:rsidR="0038619D">
        <w:t>d</w:t>
      </w:r>
      <w:r w:rsidR="007A42F3">
        <w:t xml:space="preserve"> to local </w:t>
      </w:r>
      <w:r w:rsidR="001623D2">
        <w:t>authorities</w:t>
      </w:r>
      <w:r w:rsidR="007A42F3">
        <w:t xml:space="preserve"> </w:t>
      </w:r>
      <w:r w:rsidR="00F02EB1">
        <w:t xml:space="preserve">based </w:t>
      </w:r>
      <w:r w:rsidR="00820749">
        <w:t xml:space="preserve">on relative </w:t>
      </w:r>
      <w:r w:rsidR="001623D2">
        <w:t>homeless</w:t>
      </w:r>
      <w:r w:rsidR="00820749">
        <w:t xml:space="preserve"> demand and cost pressures. The authorit</w:t>
      </w:r>
      <w:r w:rsidR="00EE24A4">
        <w:t>y’</w:t>
      </w:r>
      <w:r w:rsidR="00820749">
        <w:t>s current HPG grant for 2025-26 is £</w:t>
      </w:r>
      <w:r w:rsidR="00CF7F51">
        <w:t>2.131 million</w:t>
      </w:r>
      <w:r w:rsidR="00820749">
        <w:t>. Under the proposals</w:t>
      </w:r>
      <w:r w:rsidR="00106C76">
        <w:t xml:space="preserve"> 45% </w:t>
      </w:r>
      <w:r w:rsidR="00643FCA">
        <w:t xml:space="preserve">of this funding will be for </w:t>
      </w:r>
      <w:r w:rsidR="001623D2">
        <w:t>temporary</w:t>
      </w:r>
      <w:r w:rsidR="00643FCA">
        <w:t xml:space="preserve"> </w:t>
      </w:r>
      <w:r w:rsidR="00924FEE">
        <w:t>accommodation</w:t>
      </w:r>
      <w:r w:rsidR="00643FCA">
        <w:t xml:space="preserve"> </w:t>
      </w:r>
      <w:r w:rsidR="007632B7">
        <w:t xml:space="preserve">(to be combined with RSG) </w:t>
      </w:r>
      <w:r w:rsidR="00643FCA">
        <w:t xml:space="preserve">and 55% on prevention and </w:t>
      </w:r>
      <w:r w:rsidR="00924FEE">
        <w:t>relief</w:t>
      </w:r>
      <w:r w:rsidR="00643FCA">
        <w:t xml:space="preserve"> to support </w:t>
      </w:r>
      <w:r w:rsidR="00924FEE">
        <w:t>local</w:t>
      </w:r>
      <w:r w:rsidR="00643FCA">
        <w:t xml:space="preserve"> authorities to shift funding towards prevention.</w:t>
      </w:r>
      <w:r w:rsidR="00820749">
        <w:t xml:space="preserve"> </w:t>
      </w:r>
      <w:r w:rsidR="00123639">
        <w:t xml:space="preserve">There </w:t>
      </w:r>
      <w:r w:rsidR="000373A9">
        <w:t>will</w:t>
      </w:r>
      <w:r w:rsidR="00123639">
        <w:t xml:space="preserve"> be protection for 1-5 years which will only allow allocations to go </w:t>
      </w:r>
      <w:r w:rsidR="000373A9">
        <w:t>down</w:t>
      </w:r>
      <w:r w:rsidR="00123639">
        <w:t xml:space="preserve"> by </w:t>
      </w:r>
      <w:r w:rsidR="000373A9">
        <w:t xml:space="preserve">2-20% over the 5 year period. </w:t>
      </w:r>
    </w:p>
    <w:p w14:paraId="3461415D" w14:textId="77777777" w:rsidR="00F368F8" w:rsidRDefault="00F368F8" w:rsidP="001F2BCF">
      <w:pPr>
        <w:pStyle w:val="ListParagraph"/>
        <w:ind w:left="1134" w:right="386"/>
      </w:pPr>
    </w:p>
    <w:p w14:paraId="05C8B848" w14:textId="6E549F82" w:rsidR="009925A7" w:rsidRDefault="00F606CA" w:rsidP="00712800">
      <w:pPr>
        <w:pStyle w:val="ListParagraph"/>
        <w:numPr>
          <w:ilvl w:val="0"/>
          <w:numId w:val="32"/>
        </w:numPr>
        <w:ind w:left="1134" w:right="386" w:hanging="425"/>
      </w:pPr>
      <w:r>
        <w:rPr>
          <w:b/>
          <w:bCs/>
        </w:rPr>
        <w:t>Rough sleeping prevention an recovery grant</w:t>
      </w:r>
      <w:r w:rsidRPr="001F2BCF">
        <w:t>.</w:t>
      </w:r>
      <w:r>
        <w:t xml:space="preserve"> The original grant allocation for the authority for 2025-26 was £2.1 million</w:t>
      </w:r>
      <w:r w:rsidR="00227FDE">
        <w:t xml:space="preserve"> as part of total allocation of £185 million</w:t>
      </w:r>
      <w:r>
        <w:t>. In October 2025 the government a</w:t>
      </w:r>
      <w:r w:rsidR="00227FDE">
        <w:t xml:space="preserve">nnounced a further allocation of £69 million of which Oxford’s share was </w:t>
      </w:r>
      <w:r w:rsidR="00F368F8">
        <w:t xml:space="preserve">£0.970 million. </w:t>
      </w:r>
    </w:p>
    <w:p w14:paraId="6F75DD5C" w14:textId="77777777" w:rsidR="00B353B8" w:rsidRDefault="00B353B8" w:rsidP="00B353B8">
      <w:pPr>
        <w:pStyle w:val="ListParagraph"/>
        <w:ind w:left="1134" w:right="386"/>
      </w:pPr>
    </w:p>
    <w:p w14:paraId="2D18CF8D" w14:textId="3644B00D" w:rsidR="00B353B8" w:rsidRDefault="00B353B8" w:rsidP="00712800">
      <w:pPr>
        <w:pStyle w:val="ListParagraph"/>
        <w:numPr>
          <w:ilvl w:val="0"/>
          <w:numId w:val="32"/>
        </w:numPr>
        <w:ind w:left="1134" w:right="386" w:hanging="425"/>
      </w:pPr>
      <w:r w:rsidRPr="00B353B8">
        <w:rPr>
          <w:b/>
          <w:bCs/>
        </w:rPr>
        <w:t>Business rates retention</w:t>
      </w:r>
      <w:r>
        <w:t xml:space="preserve"> – </w:t>
      </w:r>
    </w:p>
    <w:p w14:paraId="0422BE5D" w14:textId="77777777" w:rsidR="00B353B8" w:rsidRDefault="00B353B8" w:rsidP="00B353B8">
      <w:pPr>
        <w:pStyle w:val="ListParagraph"/>
      </w:pPr>
    </w:p>
    <w:p w14:paraId="109C05F2" w14:textId="25E75DAD" w:rsidR="00B353B8" w:rsidRDefault="00E9146E" w:rsidP="00712800">
      <w:pPr>
        <w:pStyle w:val="ListParagraph"/>
        <w:numPr>
          <w:ilvl w:val="1"/>
          <w:numId w:val="32"/>
        </w:numPr>
        <w:ind w:right="386"/>
      </w:pPr>
      <w:r>
        <w:t xml:space="preserve">The Government </w:t>
      </w:r>
      <w:r w:rsidR="007B2F93">
        <w:t xml:space="preserve">confirmed their intention to undertake </w:t>
      </w:r>
      <w:r w:rsidR="003C04C5">
        <w:t>a reset of the Business Rates B</w:t>
      </w:r>
      <w:r w:rsidR="00943D01">
        <w:t>aselines with effect from 1-4-2026.</w:t>
      </w:r>
    </w:p>
    <w:p w14:paraId="65A59A20" w14:textId="18863148" w:rsidR="00613D03" w:rsidRDefault="00BC22A3" w:rsidP="00712800">
      <w:pPr>
        <w:pStyle w:val="ListParagraph"/>
        <w:numPr>
          <w:ilvl w:val="1"/>
          <w:numId w:val="32"/>
        </w:numPr>
        <w:ind w:right="386"/>
      </w:pPr>
      <w:r>
        <w:t>All growth above baseline</w:t>
      </w:r>
      <w:r w:rsidR="004B1051">
        <w:t>s to date will be reset and growth that comes o</w:t>
      </w:r>
      <w:r w:rsidR="004A3A65">
        <w:t>n</w:t>
      </w:r>
      <w:r w:rsidR="004B1051">
        <w:t xml:space="preserve"> stream after reset </w:t>
      </w:r>
      <w:r w:rsidR="00653DEB">
        <w:t>will</w:t>
      </w:r>
      <w:r w:rsidR="004B1051">
        <w:t xml:space="preserve"> </w:t>
      </w:r>
      <w:r w:rsidR="00653DEB">
        <w:t xml:space="preserve">be retained for the duration of the reset </w:t>
      </w:r>
      <w:r w:rsidR="00E426EC">
        <w:t>i.e.</w:t>
      </w:r>
      <w:r w:rsidR="00653DEB">
        <w:t xml:space="preserve"> 3 years. </w:t>
      </w:r>
    </w:p>
    <w:p w14:paraId="478E8A9F" w14:textId="0C73AF20" w:rsidR="00664648" w:rsidRDefault="00664648" w:rsidP="00712800">
      <w:pPr>
        <w:pStyle w:val="ListParagraph"/>
        <w:numPr>
          <w:ilvl w:val="1"/>
          <w:numId w:val="32"/>
        </w:numPr>
        <w:ind w:right="386"/>
      </w:pPr>
      <w:r>
        <w:t xml:space="preserve">Alongside the 2026 </w:t>
      </w:r>
      <w:r w:rsidR="004A3A65">
        <w:t>reset</w:t>
      </w:r>
      <w:r>
        <w:t xml:space="preserve"> there will be a business rates revaluation</w:t>
      </w:r>
      <w:r w:rsidR="00130233">
        <w:t xml:space="preserve"> reflecting changes</w:t>
      </w:r>
      <w:r w:rsidR="002255FF">
        <w:t xml:space="preserve"> </w:t>
      </w:r>
      <w:r w:rsidR="00130233">
        <w:t>in the</w:t>
      </w:r>
      <w:r w:rsidR="002255FF">
        <w:t xml:space="preserve"> </w:t>
      </w:r>
      <w:r w:rsidR="004A3A65">
        <w:t>property</w:t>
      </w:r>
      <w:r w:rsidR="00130233">
        <w:t xml:space="preserve"> market resulting in </w:t>
      </w:r>
      <w:r w:rsidR="002255FF">
        <w:t>decreases</w:t>
      </w:r>
      <w:r w:rsidR="00130233">
        <w:t xml:space="preserve"> or increases in ratepayer bills</w:t>
      </w:r>
      <w:r w:rsidR="00722592">
        <w:t xml:space="preserve">. The last revaluation was undertaken in 2023. </w:t>
      </w:r>
    </w:p>
    <w:p w14:paraId="04878FC0" w14:textId="395F0B27" w:rsidR="00391B03" w:rsidRDefault="00391B03" w:rsidP="00712800">
      <w:pPr>
        <w:pStyle w:val="ListParagraph"/>
        <w:numPr>
          <w:ilvl w:val="1"/>
          <w:numId w:val="32"/>
        </w:numPr>
        <w:ind w:right="386"/>
      </w:pPr>
      <w:r>
        <w:lastRenderedPageBreak/>
        <w:t xml:space="preserve">There will be a </w:t>
      </w:r>
      <w:r w:rsidR="0046167D">
        <w:t>transitional protection for the Business rates reset and the impact at individual local authority level</w:t>
      </w:r>
    </w:p>
    <w:p w14:paraId="1C4BDB42" w14:textId="77777777" w:rsidR="00722592" w:rsidRDefault="00722592" w:rsidP="00712800">
      <w:pPr>
        <w:pStyle w:val="ListParagraph"/>
        <w:numPr>
          <w:ilvl w:val="1"/>
          <w:numId w:val="32"/>
        </w:numPr>
        <w:spacing w:after="120"/>
        <w:ind w:right="386"/>
        <w:rPr>
          <w:bCs/>
        </w:rPr>
      </w:pPr>
      <w:r>
        <w:rPr>
          <w:bCs/>
        </w:rPr>
        <w:t>New lower multipliers for hereditaments used for retail hospitality and leisure and a higher multiplier for hereditaments with rateable values over £500k</w:t>
      </w:r>
    </w:p>
    <w:p w14:paraId="11932141" w14:textId="49A65ED3" w:rsidR="00F44E2B" w:rsidRDefault="004610B2" w:rsidP="004610B2">
      <w:pPr>
        <w:pStyle w:val="ListParagraph"/>
        <w:numPr>
          <w:ilvl w:val="0"/>
          <w:numId w:val="54"/>
        </w:numPr>
        <w:ind w:right="386"/>
      </w:pPr>
      <w:r w:rsidRPr="00603A54">
        <w:t xml:space="preserve">The Chancellor’s Autumn Statement </w:t>
      </w:r>
      <w:r w:rsidR="006B2FAB">
        <w:t>was</w:t>
      </w:r>
      <w:r w:rsidRPr="00603A54">
        <w:t xml:space="preserve"> pushed back to </w:t>
      </w:r>
      <w:r w:rsidRPr="004610B2">
        <w:rPr>
          <w:b/>
          <w:bCs/>
        </w:rPr>
        <w:t>26</w:t>
      </w:r>
      <w:r w:rsidRPr="004610B2">
        <w:rPr>
          <w:b/>
          <w:bCs/>
          <w:vertAlign w:val="superscript"/>
        </w:rPr>
        <w:t>th</w:t>
      </w:r>
      <w:r w:rsidRPr="004610B2">
        <w:rPr>
          <w:b/>
          <w:bCs/>
        </w:rPr>
        <w:t xml:space="preserve"> November 2025 </w:t>
      </w:r>
      <w:r w:rsidRPr="001F2BCF">
        <w:t xml:space="preserve">although on the </w:t>
      </w:r>
      <w:r w:rsidRPr="004610B2">
        <w:rPr>
          <w:b/>
          <w:bCs/>
        </w:rPr>
        <w:t>22</w:t>
      </w:r>
      <w:r w:rsidRPr="004610B2">
        <w:rPr>
          <w:b/>
          <w:bCs/>
          <w:vertAlign w:val="superscript"/>
        </w:rPr>
        <w:t>nd</w:t>
      </w:r>
      <w:r w:rsidRPr="004610B2">
        <w:rPr>
          <w:b/>
          <w:bCs/>
        </w:rPr>
        <w:t xml:space="preserve"> November</w:t>
      </w:r>
      <w:r w:rsidRPr="001F2BCF">
        <w:t xml:space="preserve"> there </w:t>
      </w:r>
      <w:r w:rsidR="00F908C4">
        <w:t>was</w:t>
      </w:r>
      <w:r w:rsidRPr="001F2BCF">
        <w:t xml:space="preserve"> also a Policy Statement</w:t>
      </w:r>
      <w:r w:rsidRPr="00603A54">
        <w:t>. The announcement sets out the medium-term path for public finances and for the first time in decades will return to multi-year funding settlements which will reportedly cover the period 1-4-2026</w:t>
      </w:r>
      <w:r>
        <w:t xml:space="preserve"> to</w:t>
      </w:r>
      <w:r w:rsidRPr="00603A54">
        <w:t xml:space="preserve"> 31-3-2029. The Provisional Finance Settlement is thought to be due on </w:t>
      </w:r>
      <w:r w:rsidRPr="004610B2">
        <w:rPr>
          <w:b/>
          <w:bCs/>
        </w:rPr>
        <w:t>18</w:t>
      </w:r>
      <w:r w:rsidRPr="004610B2">
        <w:rPr>
          <w:b/>
          <w:bCs/>
          <w:vertAlign w:val="superscript"/>
        </w:rPr>
        <w:t>th</w:t>
      </w:r>
      <w:r w:rsidRPr="004610B2">
        <w:rPr>
          <w:b/>
          <w:bCs/>
        </w:rPr>
        <w:t xml:space="preserve"> December 2025</w:t>
      </w:r>
      <w:r w:rsidRPr="00603A54">
        <w:t xml:space="preserve">. </w:t>
      </w:r>
      <w:r w:rsidR="006B2FAB">
        <w:t xml:space="preserve">Key features of the November </w:t>
      </w:r>
      <w:r w:rsidR="006F5A97">
        <w:t>B</w:t>
      </w:r>
      <w:r w:rsidR="006B2FAB">
        <w:t>udget</w:t>
      </w:r>
      <w:r w:rsidR="00F44E2B">
        <w:t xml:space="preserve"> </w:t>
      </w:r>
      <w:r w:rsidR="000963EE">
        <w:t xml:space="preserve">which may impact the authority </w:t>
      </w:r>
      <w:r w:rsidR="00F44E2B">
        <w:t>included :</w:t>
      </w:r>
    </w:p>
    <w:p w14:paraId="53CDA3C8" w14:textId="77777777" w:rsidR="00F44E2B" w:rsidRDefault="00F44E2B" w:rsidP="00F44E2B">
      <w:pPr>
        <w:pStyle w:val="ListParagraph"/>
        <w:ind w:right="386"/>
      </w:pPr>
    </w:p>
    <w:p w14:paraId="45DEEE0A" w14:textId="09AED614" w:rsidR="004610B2" w:rsidRDefault="004C7360" w:rsidP="00F44E2B">
      <w:pPr>
        <w:pStyle w:val="ListParagraph"/>
        <w:numPr>
          <w:ilvl w:val="0"/>
          <w:numId w:val="58"/>
        </w:numPr>
        <w:ind w:right="386"/>
      </w:pPr>
      <w:r>
        <w:t xml:space="preserve">The introduction of a mansion council tax </w:t>
      </w:r>
      <w:r w:rsidR="00D77F38">
        <w:t xml:space="preserve">in 2028 </w:t>
      </w:r>
      <w:r>
        <w:t xml:space="preserve">for properties over £2 million ranging between </w:t>
      </w:r>
      <w:r w:rsidR="00D77F38">
        <w:t>£2,500 and £7,500 per annum. Although the money will be collected by the local authority it will be paid over to Government</w:t>
      </w:r>
    </w:p>
    <w:p w14:paraId="1C451DEE" w14:textId="1A607BF3" w:rsidR="00D77F38" w:rsidRDefault="00293733" w:rsidP="00F44E2B">
      <w:pPr>
        <w:pStyle w:val="ListParagraph"/>
        <w:numPr>
          <w:ilvl w:val="0"/>
          <w:numId w:val="58"/>
        </w:numPr>
        <w:ind w:right="386"/>
      </w:pPr>
      <w:r>
        <w:t>£18 million for around 200 new playgrounds across the UK</w:t>
      </w:r>
    </w:p>
    <w:p w14:paraId="7D9C65BC" w14:textId="1482902E" w:rsidR="00293733" w:rsidRDefault="00403B3A" w:rsidP="00F44E2B">
      <w:pPr>
        <w:pStyle w:val="ListParagraph"/>
        <w:numPr>
          <w:ilvl w:val="0"/>
          <w:numId w:val="58"/>
        </w:numPr>
        <w:ind w:right="386"/>
      </w:pPr>
      <w:r>
        <w:t>Increase in the national living wage by 4.</w:t>
      </w:r>
      <w:r w:rsidR="00F17908">
        <w:t>1</w:t>
      </w:r>
      <w:r>
        <w:t>%</w:t>
      </w:r>
      <w:r w:rsidR="00F17908">
        <w:t xml:space="preserve"> to £12.71 per hour</w:t>
      </w:r>
      <w:r w:rsidR="005E3AEE">
        <w:t>. National minimum wage f</w:t>
      </w:r>
      <w:r w:rsidR="00513E6C">
        <w:t xml:space="preserve">or 18-20 year olds </w:t>
      </w:r>
      <w:r w:rsidR="00811562">
        <w:t xml:space="preserve">will </w:t>
      </w:r>
      <w:r w:rsidR="006F5A97">
        <w:t>i</w:t>
      </w:r>
      <w:r w:rsidR="00811562">
        <w:t xml:space="preserve">ncrease by 8.5% (£10.85) </w:t>
      </w:r>
      <w:r w:rsidR="006F5A97">
        <w:t>per hour and for 16-17 year olds and apprentices by 6% to £8.00 per hour</w:t>
      </w:r>
    </w:p>
    <w:p w14:paraId="4A00FE1E" w14:textId="3F80F013" w:rsidR="00403B3A" w:rsidRDefault="00403B3A" w:rsidP="00F44E2B">
      <w:pPr>
        <w:pStyle w:val="ListParagraph"/>
        <w:numPr>
          <w:ilvl w:val="0"/>
          <w:numId w:val="58"/>
        </w:numPr>
        <w:ind w:right="386"/>
      </w:pPr>
      <w:r>
        <w:t xml:space="preserve">Lower business rates for properties in the Retail Hospitality and Leisure sector funded by additional business rates with a </w:t>
      </w:r>
      <w:r w:rsidR="00425439">
        <w:t>rateable value of over £500k</w:t>
      </w:r>
    </w:p>
    <w:p w14:paraId="6367712A" w14:textId="798984FB" w:rsidR="00425439" w:rsidRDefault="00447B1B" w:rsidP="00F44E2B">
      <w:pPr>
        <w:pStyle w:val="ListParagraph"/>
        <w:numPr>
          <w:ilvl w:val="0"/>
          <w:numId w:val="58"/>
        </w:numPr>
        <w:ind w:right="386"/>
      </w:pPr>
      <w:r>
        <w:t xml:space="preserve">£48 million </w:t>
      </w:r>
      <w:r w:rsidR="00706D48">
        <w:t xml:space="preserve">new funding to boost capacity in the planning system, which includes </w:t>
      </w:r>
      <w:r w:rsidR="0045755F">
        <w:t>additional investment to recruit an extra 350 planners</w:t>
      </w:r>
    </w:p>
    <w:p w14:paraId="703C0912" w14:textId="5CE71537" w:rsidR="0045755F" w:rsidRDefault="0015101D" w:rsidP="00F44E2B">
      <w:pPr>
        <w:pStyle w:val="ListParagraph"/>
        <w:numPr>
          <w:ilvl w:val="0"/>
          <w:numId w:val="58"/>
        </w:numPr>
        <w:ind w:right="386"/>
      </w:pPr>
      <w:r>
        <w:t>A consultation on tackling a business rates tax loophole associated with short term lets</w:t>
      </w:r>
    </w:p>
    <w:p w14:paraId="34D95BC3" w14:textId="066795FD" w:rsidR="003E2FC6" w:rsidRDefault="003E2FC6" w:rsidP="00F44E2B">
      <w:pPr>
        <w:pStyle w:val="ListParagraph"/>
        <w:numPr>
          <w:ilvl w:val="0"/>
          <w:numId w:val="58"/>
        </w:numPr>
        <w:ind w:right="386"/>
      </w:pPr>
      <w:r>
        <w:t xml:space="preserve">£100 million </w:t>
      </w:r>
      <w:r w:rsidR="00533A1F">
        <w:t xml:space="preserve">fund for local authorities and public bodies to accelerate installation of charging points </w:t>
      </w:r>
      <w:r w:rsidR="00867810">
        <w:t>where people live and work</w:t>
      </w:r>
    </w:p>
    <w:p w14:paraId="145EE1C2" w14:textId="77777777" w:rsidR="004610B2" w:rsidRDefault="004610B2" w:rsidP="004610B2">
      <w:pPr>
        <w:pStyle w:val="ListParagraph"/>
        <w:ind w:right="386"/>
      </w:pPr>
    </w:p>
    <w:p w14:paraId="17078714" w14:textId="4EB564E5" w:rsidR="004610B2" w:rsidRPr="004610B2" w:rsidRDefault="004610B2" w:rsidP="004610B2">
      <w:pPr>
        <w:pStyle w:val="ListParagraph"/>
        <w:numPr>
          <w:ilvl w:val="0"/>
          <w:numId w:val="54"/>
        </w:numPr>
        <w:spacing w:after="120"/>
        <w:ind w:right="386"/>
        <w:rPr>
          <w:bCs/>
        </w:rPr>
      </w:pPr>
      <w:r w:rsidRPr="004610B2">
        <w:rPr>
          <w:bCs/>
        </w:rPr>
        <w:t xml:space="preserve">Whilst the individual authority allocations from the Fairer Funding </w:t>
      </w:r>
      <w:r w:rsidR="00F44E2B">
        <w:rPr>
          <w:bCs/>
        </w:rPr>
        <w:t xml:space="preserve">will </w:t>
      </w:r>
      <w:r w:rsidRPr="004610B2">
        <w:rPr>
          <w:bCs/>
        </w:rPr>
        <w:t>not be known until the Provisional Finance Settlement in December 2025</w:t>
      </w:r>
      <w:r w:rsidR="00492A17">
        <w:rPr>
          <w:bCs/>
        </w:rPr>
        <w:t>,</w:t>
      </w:r>
      <w:r w:rsidRPr="004610B2">
        <w:rPr>
          <w:bCs/>
        </w:rPr>
        <w:t xml:space="preserve"> for budget setting purposes the assumptions have been made in the MTFP are set out below.</w:t>
      </w:r>
    </w:p>
    <w:p w14:paraId="16D5B534" w14:textId="77777777" w:rsidR="004610B2" w:rsidRDefault="004610B2" w:rsidP="004610B2">
      <w:pPr>
        <w:pStyle w:val="ListParagraph"/>
        <w:numPr>
          <w:ilvl w:val="0"/>
          <w:numId w:val="54"/>
        </w:numPr>
        <w:spacing w:before="100" w:beforeAutospacing="1" w:after="100" w:afterAutospacing="1"/>
        <w:rPr>
          <w:rFonts w:cs="Arial"/>
          <w:color w:val="000000"/>
          <w:lang w:eastAsia="en-GB"/>
        </w:rPr>
      </w:pPr>
      <w:r w:rsidRPr="00143DFD">
        <w:rPr>
          <w:rFonts w:cs="Arial"/>
          <w:color w:val="000000"/>
          <w:lang w:eastAsia="en-GB"/>
        </w:rPr>
        <w:t xml:space="preserve">The current assumption for Oxford City Council budgeting purposes excludes social care and other county council grants from the redistribution and no transitional protection for the reduction in retained business rates as a result of the Business Rates Reset. The results which have been factored into the MTFP compared to a more optimistic assessment of the impact is shown below: </w:t>
      </w:r>
    </w:p>
    <w:p w14:paraId="0F200CD0" w14:textId="77777777" w:rsidR="0065331E" w:rsidRDefault="0065331E" w:rsidP="0065331E">
      <w:pPr>
        <w:pStyle w:val="ListParagraph"/>
        <w:spacing w:before="100" w:beforeAutospacing="1" w:after="100" w:afterAutospacing="1"/>
        <w:rPr>
          <w:rFonts w:cs="Arial"/>
          <w:color w:val="000000"/>
          <w:lang w:eastAsia="en-GB"/>
        </w:rPr>
      </w:pPr>
    </w:p>
    <w:p w14:paraId="78C1EFF3" w14:textId="77777777" w:rsidR="0065331E" w:rsidRDefault="0065331E" w:rsidP="0065331E">
      <w:pPr>
        <w:pStyle w:val="ListParagraph"/>
        <w:spacing w:before="100" w:beforeAutospacing="1" w:after="100" w:afterAutospacing="1"/>
        <w:rPr>
          <w:rFonts w:cs="Arial"/>
          <w:color w:val="000000"/>
          <w:lang w:eastAsia="en-GB"/>
        </w:rPr>
      </w:pPr>
    </w:p>
    <w:p w14:paraId="20724A43" w14:textId="77777777" w:rsidR="0065331E" w:rsidRDefault="0065331E" w:rsidP="0065331E">
      <w:pPr>
        <w:pStyle w:val="ListParagraph"/>
        <w:spacing w:before="100" w:beforeAutospacing="1" w:after="100" w:afterAutospacing="1"/>
        <w:rPr>
          <w:rFonts w:cs="Arial"/>
          <w:color w:val="000000"/>
          <w:lang w:eastAsia="en-GB"/>
        </w:rPr>
      </w:pPr>
    </w:p>
    <w:p w14:paraId="671C5595" w14:textId="77777777" w:rsidR="0065331E" w:rsidRPr="00143DFD" w:rsidRDefault="0065331E" w:rsidP="0065331E">
      <w:pPr>
        <w:pStyle w:val="ListParagraph"/>
        <w:spacing w:before="100" w:beforeAutospacing="1" w:after="100" w:afterAutospacing="1"/>
        <w:rPr>
          <w:rFonts w:cs="Arial"/>
          <w:color w:val="000000"/>
          <w:lang w:eastAsia="en-GB"/>
        </w:rPr>
      </w:pPr>
    </w:p>
    <w:p w14:paraId="1F954271" w14:textId="77777777" w:rsidR="004610B2" w:rsidRPr="00143DFD" w:rsidRDefault="004610B2" w:rsidP="004610B2">
      <w:pPr>
        <w:pStyle w:val="ListParagraph"/>
        <w:spacing w:before="100" w:beforeAutospacing="1" w:after="100" w:afterAutospacing="1"/>
        <w:rPr>
          <w:rFonts w:cs="Arial"/>
          <w:b/>
          <w:bCs/>
          <w:color w:val="000000"/>
          <w:lang w:eastAsia="en-GB"/>
        </w:rPr>
      </w:pPr>
      <w:r w:rsidRPr="00143DFD">
        <w:rPr>
          <w:rFonts w:cs="Arial"/>
          <w:b/>
          <w:bCs/>
          <w:color w:val="000000"/>
          <w:lang w:eastAsia="en-GB"/>
        </w:rPr>
        <w:t>Table 2 : MTFP Fairer Funding Impact</w:t>
      </w:r>
    </w:p>
    <w:p w14:paraId="3C22A585" w14:textId="77777777" w:rsidR="004610B2" w:rsidRPr="00143DFD" w:rsidRDefault="004610B2" w:rsidP="004610B2">
      <w:pPr>
        <w:spacing w:before="100" w:beforeAutospacing="1" w:after="100" w:afterAutospacing="1"/>
        <w:rPr>
          <w:rFonts w:cs="Arial"/>
          <w:color w:val="000000"/>
          <w:lang w:eastAsia="en-GB"/>
        </w:rPr>
      </w:pPr>
      <w:r w:rsidRPr="00143DFD">
        <w:rPr>
          <w:noProof/>
        </w:rPr>
        <w:lastRenderedPageBreak/>
        <w:drawing>
          <wp:inline distT="0" distB="0" distL="0" distR="0" wp14:anchorId="3D555E31" wp14:editId="0F0B5ED6">
            <wp:extent cx="5422900" cy="2768600"/>
            <wp:effectExtent l="0" t="0" r="6350" b="0"/>
            <wp:docPr id="2166405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2900" cy="2768600"/>
                    </a:xfrm>
                    <a:prstGeom prst="rect">
                      <a:avLst/>
                    </a:prstGeom>
                    <a:noFill/>
                    <a:ln>
                      <a:noFill/>
                    </a:ln>
                  </pic:spPr>
                </pic:pic>
              </a:graphicData>
            </a:graphic>
          </wp:inline>
        </w:drawing>
      </w:r>
    </w:p>
    <w:p w14:paraId="1834A933" w14:textId="77777777" w:rsidR="004610B2" w:rsidRDefault="004610B2" w:rsidP="004610B2">
      <w:pPr>
        <w:ind w:left="720" w:right="386" w:hanging="720"/>
      </w:pPr>
      <w:r w:rsidRPr="00143DFD">
        <w:tab/>
      </w:r>
    </w:p>
    <w:p w14:paraId="374BC0C0" w14:textId="01FA88D3" w:rsidR="004610B2" w:rsidRDefault="004610B2" w:rsidP="004610B2">
      <w:pPr>
        <w:ind w:left="720" w:right="386" w:hanging="720"/>
      </w:pPr>
      <w:r>
        <w:t>18</w:t>
      </w:r>
      <w:r>
        <w:tab/>
      </w:r>
      <w:r w:rsidRPr="00143DFD">
        <w:t>The difference between the realistic scenario and optimistic scenario over the 4 year MTFP is an estimated £12 million improvement over the 4 year period.</w:t>
      </w:r>
      <w:r>
        <w:t xml:space="preserve"> There are downside and upside risk to this strategy although clearly there will be no clarity on this un</w:t>
      </w:r>
      <w:r w:rsidR="00772276">
        <w:t>til</w:t>
      </w:r>
      <w:r>
        <w:t xml:space="preserve"> the finance settlement figures are announced for individual authorities.</w:t>
      </w:r>
    </w:p>
    <w:p w14:paraId="7C107251" w14:textId="77777777" w:rsidR="00B7619A" w:rsidRDefault="00B7619A" w:rsidP="00B353B8">
      <w:pPr>
        <w:pStyle w:val="ListParagraph"/>
        <w:ind w:left="1134" w:right="386"/>
      </w:pPr>
    </w:p>
    <w:p w14:paraId="0D48EA0E" w14:textId="5B7AA063" w:rsidR="00754A17" w:rsidRDefault="00DF22BD" w:rsidP="004610B2">
      <w:pPr>
        <w:pStyle w:val="ListParagraph"/>
        <w:numPr>
          <w:ilvl w:val="0"/>
          <w:numId w:val="55"/>
        </w:numPr>
        <w:ind w:right="386"/>
      </w:pPr>
      <w:r>
        <w:rPr>
          <w:b/>
          <w:bCs/>
        </w:rPr>
        <w:t xml:space="preserve">Packaging </w:t>
      </w:r>
      <w:r w:rsidR="00754A17" w:rsidRPr="001F2BCF">
        <w:rPr>
          <w:b/>
          <w:bCs/>
        </w:rPr>
        <w:t>Extended Producer Responsibility</w:t>
      </w:r>
      <w:r w:rsidR="0040153B" w:rsidRPr="001F2BCF">
        <w:rPr>
          <w:b/>
          <w:bCs/>
        </w:rPr>
        <w:t xml:space="preserve"> </w:t>
      </w:r>
      <w:r w:rsidR="00E273BA">
        <w:rPr>
          <w:b/>
          <w:bCs/>
        </w:rPr>
        <w:t>(</w:t>
      </w:r>
      <w:r w:rsidR="00AF0BCF">
        <w:rPr>
          <w:b/>
          <w:bCs/>
        </w:rPr>
        <w:t>pEPR</w:t>
      </w:r>
      <w:r w:rsidR="00E273BA">
        <w:rPr>
          <w:b/>
          <w:bCs/>
        </w:rPr>
        <w:t xml:space="preserve">) </w:t>
      </w:r>
      <w:r w:rsidR="0040153B" w:rsidRPr="001F2BCF">
        <w:rPr>
          <w:b/>
          <w:bCs/>
        </w:rPr>
        <w:t>and simpler recycling</w:t>
      </w:r>
      <w:r w:rsidR="00754A17">
        <w:t xml:space="preserve">  In </w:t>
      </w:r>
      <w:r w:rsidR="00935CDE">
        <w:t xml:space="preserve">November 2024 the Government issued a policy statement entitled </w:t>
      </w:r>
      <w:r w:rsidR="00945197">
        <w:t xml:space="preserve">‘ Simpler Recycling in England’ </w:t>
      </w:r>
      <w:r w:rsidR="00DE0FD5">
        <w:t>in relation to recycling and bin collections in England</w:t>
      </w:r>
      <w:r w:rsidR="002C64CE">
        <w:t>,</w:t>
      </w:r>
      <w:r w:rsidR="00057842">
        <w:t xml:space="preserve"> setting out the Go</w:t>
      </w:r>
      <w:r w:rsidR="001A72E2">
        <w:t xml:space="preserve">vernments policy to </w:t>
      </w:r>
      <w:r w:rsidR="00C70850">
        <w:t>making recycling in England easier</w:t>
      </w:r>
      <w:r w:rsidR="001A72E2">
        <w:t xml:space="preserve">. </w:t>
      </w:r>
      <w:r w:rsidR="008A608C">
        <w:t xml:space="preserve">Simpler recycling </w:t>
      </w:r>
      <w:r w:rsidR="00562B60">
        <w:t xml:space="preserve">would enable more streamlined collections </w:t>
      </w:r>
      <w:r w:rsidR="00311093">
        <w:t>from households, businesses and non</w:t>
      </w:r>
      <w:r w:rsidR="003E4119">
        <w:t>-</w:t>
      </w:r>
      <w:r w:rsidR="00311093">
        <w:t>domestic premises such as schools.</w:t>
      </w:r>
    </w:p>
    <w:p w14:paraId="5E460D15" w14:textId="77777777" w:rsidR="00D91585" w:rsidRDefault="00D91585" w:rsidP="001F2BCF">
      <w:pPr>
        <w:pStyle w:val="ListParagraph"/>
        <w:ind w:left="786" w:right="386"/>
      </w:pPr>
    </w:p>
    <w:p w14:paraId="541C1790" w14:textId="11F5623C" w:rsidR="00311093" w:rsidRDefault="00A0791B" w:rsidP="004610B2">
      <w:pPr>
        <w:pStyle w:val="ListParagraph"/>
        <w:numPr>
          <w:ilvl w:val="0"/>
          <w:numId w:val="55"/>
        </w:numPr>
        <w:ind w:right="386"/>
      </w:pPr>
      <w:r>
        <w:t xml:space="preserve">The new default for </w:t>
      </w:r>
      <w:r w:rsidR="00671D84">
        <w:t xml:space="preserve">recyclable material collections </w:t>
      </w:r>
      <w:r w:rsidR="00D46892">
        <w:t xml:space="preserve">for most households and work places </w:t>
      </w:r>
      <w:r w:rsidR="00671D84">
        <w:t xml:space="preserve">will be </w:t>
      </w:r>
      <w:r w:rsidR="00D46892">
        <w:t xml:space="preserve">4 </w:t>
      </w:r>
      <w:r w:rsidR="004E39B8">
        <w:t xml:space="preserve">containers for </w:t>
      </w:r>
      <w:r w:rsidR="00671D84">
        <w:t>:</w:t>
      </w:r>
    </w:p>
    <w:p w14:paraId="7CC312BF" w14:textId="4A3EBFBF" w:rsidR="004E39B8" w:rsidRDefault="002C64CE" w:rsidP="004610B2">
      <w:pPr>
        <w:pStyle w:val="ListParagraph"/>
        <w:numPr>
          <w:ilvl w:val="1"/>
          <w:numId w:val="55"/>
        </w:numPr>
        <w:ind w:right="386"/>
      </w:pPr>
      <w:r>
        <w:t>Non-recyclable</w:t>
      </w:r>
      <w:r w:rsidR="004E39B8">
        <w:t xml:space="preserve"> waste </w:t>
      </w:r>
    </w:p>
    <w:p w14:paraId="066BA6D3" w14:textId="25184778" w:rsidR="0072105D" w:rsidRDefault="0072105D" w:rsidP="004610B2">
      <w:pPr>
        <w:pStyle w:val="ListParagraph"/>
        <w:numPr>
          <w:ilvl w:val="1"/>
          <w:numId w:val="55"/>
        </w:numPr>
        <w:ind w:right="386"/>
      </w:pPr>
      <w:r>
        <w:t>Food waste</w:t>
      </w:r>
    </w:p>
    <w:p w14:paraId="493A466A" w14:textId="07CA2793" w:rsidR="00671D84" w:rsidRDefault="002D00EF" w:rsidP="004610B2">
      <w:pPr>
        <w:pStyle w:val="ListParagraph"/>
        <w:numPr>
          <w:ilvl w:val="1"/>
          <w:numId w:val="55"/>
        </w:numPr>
        <w:ind w:right="386"/>
      </w:pPr>
      <w:r>
        <w:t xml:space="preserve">Paper and card </w:t>
      </w:r>
      <w:r w:rsidR="00472BAD">
        <w:t xml:space="preserve">– councils can continue to </w:t>
      </w:r>
      <w:r w:rsidR="00C3008C">
        <w:t>collect this alongside other recyclates</w:t>
      </w:r>
      <w:r w:rsidR="001F2BCF">
        <w:t>,</w:t>
      </w:r>
      <w:r w:rsidR="00C3008C">
        <w:t xml:space="preserve"> </w:t>
      </w:r>
      <w:r w:rsidR="00B01ED0">
        <w:t xml:space="preserve">if </w:t>
      </w:r>
      <w:r w:rsidR="00922AE4">
        <w:t xml:space="preserve">an assessment is completed that </w:t>
      </w:r>
      <w:r w:rsidR="00B01ED0" w:rsidRPr="00B01ED0">
        <w:rPr>
          <w:rFonts w:cs="Arial"/>
          <w:color w:val="242424"/>
          <w:sz w:val="22"/>
          <w:szCs w:val="22"/>
          <w:bdr w:val="none" w:sz="0" w:space="0" w:color="auto" w:frame="1"/>
          <w:shd w:val="clear" w:color="auto" w:fill="FFFFFF"/>
        </w:rPr>
        <w:t>it is not </w:t>
      </w:r>
      <w:hyperlink r:id="rId16" w:tgtFrame="_blank" w:tooltip="Original URL: https://www.gov.uk/guidance/collecting-paper-and-card-with-other-dry-recyclable-materials-written-assessments. Click or tap if you trust this link." w:history="1">
        <w:r w:rsidR="002C64CE" w:rsidRPr="001F2BCF">
          <w:rPr>
            <w:rFonts w:cs="Arial"/>
            <w:sz w:val="22"/>
            <w:szCs w:val="22"/>
            <w:bdr w:val="none" w:sz="0" w:space="0" w:color="auto" w:frame="1"/>
            <w:shd w:val="clear" w:color="auto" w:fill="FFFFFF"/>
          </w:rPr>
          <w:t>t</w:t>
        </w:r>
        <w:r w:rsidR="00B01ED0" w:rsidRPr="001F2BCF">
          <w:rPr>
            <w:rFonts w:cs="Arial"/>
            <w:sz w:val="22"/>
            <w:szCs w:val="22"/>
            <w:bdr w:val="none" w:sz="0" w:space="0" w:color="auto" w:frame="1"/>
            <w:shd w:val="clear" w:color="auto" w:fill="FFFFFF"/>
          </w:rPr>
          <w:t xml:space="preserve">echnically, </w:t>
        </w:r>
        <w:r w:rsidR="002C64CE" w:rsidRPr="001F2BCF">
          <w:rPr>
            <w:rFonts w:cs="Arial"/>
            <w:sz w:val="22"/>
            <w:szCs w:val="22"/>
            <w:bdr w:val="none" w:sz="0" w:space="0" w:color="auto" w:frame="1"/>
            <w:shd w:val="clear" w:color="auto" w:fill="FFFFFF"/>
          </w:rPr>
          <w:t>e</w:t>
        </w:r>
        <w:r w:rsidR="00B01ED0" w:rsidRPr="001F2BCF">
          <w:rPr>
            <w:rFonts w:cs="Arial"/>
            <w:sz w:val="22"/>
            <w:szCs w:val="22"/>
            <w:bdr w:val="none" w:sz="0" w:space="0" w:color="auto" w:frame="1"/>
            <w:shd w:val="clear" w:color="auto" w:fill="FFFFFF"/>
          </w:rPr>
          <w:t xml:space="preserve">conomically or </w:t>
        </w:r>
        <w:r w:rsidR="002C64CE" w:rsidRPr="001F2BCF">
          <w:rPr>
            <w:rFonts w:cs="Arial"/>
            <w:sz w:val="22"/>
            <w:szCs w:val="22"/>
            <w:bdr w:val="none" w:sz="0" w:space="0" w:color="auto" w:frame="1"/>
            <w:shd w:val="clear" w:color="auto" w:fill="FFFFFF"/>
          </w:rPr>
          <w:t>e</w:t>
        </w:r>
        <w:r w:rsidR="00B01ED0" w:rsidRPr="001F2BCF">
          <w:rPr>
            <w:rFonts w:cs="Arial"/>
            <w:sz w:val="22"/>
            <w:szCs w:val="22"/>
            <w:bdr w:val="none" w:sz="0" w:space="0" w:color="auto" w:frame="1"/>
            <w:shd w:val="clear" w:color="auto" w:fill="FFFFFF"/>
          </w:rPr>
          <w:t xml:space="preserve">nvironmentally </w:t>
        </w:r>
        <w:r w:rsidR="002C64CE" w:rsidRPr="001F2BCF">
          <w:rPr>
            <w:rFonts w:cs="Arial"/>
            <w:sz w:val="22"/>
            <w:szCs w:val="22"/>
            <w:bdr w:val="none" w:sz="0" w:space="0" w:color="auto" w:frame="1"/>
            <w:shd w:val="clear" w:color="auto" w:fill="FFFFFF"/>
          </w:rPr>
          <w:t>p</w:t>
        </w:r>
        <w:r w:rsidR="00B01ED0" w:rsidRPr="001F2BCF">
          <w:rPr>
            <w:rFonts w:cs="Arial"/>
            <w:sz w:val="22"/>
            <w:szCs w:val="22"/>
            <w:bdr w:val="none" w:sz="0" w:space="0" w:color="auto" w:frame="1"/>
            <w:shd w:val="clear" w:color="auto" w:fill="FFFFFF"/>
          </w:rPr>
          <w:t>racticable</w:t>
        </w:r>
      </w:hyperlink>
      <w:r w:rsidR="00B01ED0" w:rsidRPr="001F2BCF">
        <w:rPr>
          <w:rFonts w:cs="Arial"/>
          <w:sz w:val="22"/>
          <w:szCs w:val="22"/>
          <w:bdr w:val="none" w:sz="0" w:space="0" w:color="auto" w:frame="1"/>
          <w:shd w:val="clear" w:color="auto" w:fill="FFFFFF"/>
        </w:rPr>
        <w:t> to do so oth</w:t>
      </w:r>
      <w:r w:rsidR="00B01ED0">
        <w:rPr>
          <w:rFonts w:cs="Arial"/>
          <w:color w:val="242424"/>
          <w:sz w:val="22"/>
          <w:szCs w:val="22"/>
          <w:bdr w:val="none" w:sz="0" w:space="0" w:color="auto" w:frame="1"/>
          <w:shd w:val="clear" w:color="auto" w:fill="FFFFFF"/>
        </w:rPr>
        <w:t>erwise</w:t>
      </w:r>
    </w:p>
    <w:p w14:paraId="3FE0A196" w14:textId="49D34CB8" w:rsidR="002D00EF" w:rsidRDefault="005734C3" w:rsidP="004610B2">
      <w:pPr>
        <w:pStyle w:val="ListParagraph"/>
        <w:numPr>
          <w:ilvl w:val="1"/>
          <w:numId w:val="55"/>
        </w:numPr>
        <w:ind w:right="386"/>
      </w:pPr>
      <w:r>
        <w:t>All other dry recyclables (metal, plastics</w:t>
      </w:r>
      <w:r w:rsidR="00930E2A">
        <w:t xml:space="preserve"> and glass)</w:t>
      </w:r>
    </w:p>
    <w:p w14:paraId="7AC9339D" w14:textId="77777777" w:rsidR="00D91585" w:rsidRDefault="00D91585" w:rsidP="001F2BCF">
      <w:pPr>
        <w:pStyle w:val="ListParagraph"/>
        <w:ind w:left="1440" w:right="386"/>
      </w:pPr>
    </w:p>
    <w:p w14:paraId="4052DE3F" w14:textId="4A330E14" w:rsidR="00930E2A" w:rsidRDefault="00CB728A" w:rsidP="004610B2">
      <w:pPr>
        <w:pStyle w:val="ListParagraph"/>
        <w:numPr>
          <w:ilvl w:val="0"/>
          <w:numId w:val="55"/>
        </w:numPr>
        <w:ind w:left="709" w:right="386"/>
      </w:pPr>
      <w:r>
        <w:t>Simpler recycling will sit alongside ‘</w:t>
      </w:r>
      <w:r w:rsidR="00924D7E">
        <w:t xml:space="preserve">packaging </w:t>
      </w:r>
      <w:r>
        <w:t>extended producer re</w:t>
      </w:r>
      <w:r w:rsidR="0040153B">
        <w:t>s</w:t>
      </w:r>
      <w:r>
        <w:t>ponsibilities’ and will see</w:t>
      </w:r>
      <w:r w:rsidR="0040153B">
        <w:t>k</w:t>
      </w:r>
      <w:r>
        <w:t xml:space="preserve"> to </w:t>
      </w:r>
      <w:r w:rsidR="0040153B">
        <w:t xml:space="preserve">drive up recycling rates across England. </w:t>
      </w:r>
      <w:r w:rsidR="00A57B20">
        <w:t>Timel</w:t>
      </w:r>
      <w:r w:rsidR="00D83DF5">
        <w:t xml:space="preserve">ines for this </w:t>
      </w:r>
      <w:r w:rsidR="00662758">
        <w:t>are as follows:</w:t>
      </w:r>
    </w:p>
    <w:p w14:paraId="222EA639" w14:textId="482BD5AC" w:rsidR="00EB3743" w:rsidRDefault="00EB3743" w:rsidP="004610B2">
      <w:pPr>
        <w:numPr>
          <w:ilvl w:val="1"/>
          <w:numId w:val="55"/>
        </w:numPr>
        <w:shd w:val="clear" w:color="auto" w:fill="FFFFFF"/>
        <w:spacing w:after="150"/>
        <w:rPr>
          <w:rFonts w:cs="Arial"/>
          <w:color w:val="0B0C0C"/>
          <w:lang w:eastAsia="en-GB"/>
        </w:rPr>
      </w:pPr>
      <w:r>
        <w:rPr>
          <w:rFonts w:cs="Arial"/>
          <w:color w:val="0B0C0C"/>
        </w:rPr>
        <w:t>by 31 March 2025, businesses and relevant non-domestic premises in England will need to arrange for the collection of the core recyclable waste streams, with the exception of garden waste (glass, metal, plastic, paper and card, and food waste)</w:t>
      </w:r>
    </w:p>
    <w:p w14:paraId="79EB6506" w14:textId="443BD7B0" w:rsidR="00A57B20" w:rsidRPr="001F2BCF" w:rsidRDefault="00D601E5" w:rsidP="004610B2">
      <w:pPr>
        <w:numPr>
          <w:ilvl w:val="1"/>
          <w:numId w:val="55"/>
        </w:numPr>
        <w:shd w:val="clear" w:color="auto" w:fill="FFFFFF"/>
        <w:spacing w:after="150"/>
        <w:ind w:right="386"/>
      </w:pPr>
      <w:r w:rsidRPr="00D601E5">
        <w:rPr>
          <w:rFonts w:cs="Arial"/>
          <w:color w:val="0B0C0C"/>
        </w:rPr>
        <w:t>by 31 March 2026, local authorities will be required to collect the core recyclable waste streams from all households in England. This includes introducing weekly food waste collections for most homes</w:t>
      </w:r>
    </w:p>
    <w:p w14:paraId="23C673A1" w14:textId="77777777" w:rsidR="00102976" w:rsidRDefault="00102976" w:rsidP="004610B2">
      <w:pPr>
        <w:numPr>
          <w:ilvl w:val="1"/>
          <w:numId w:val="55"/>
        </w:numPr>
        <w:shd w:val="clear" w:color="auto" w:fill="FFFFFF"/>
        <w:spacing w:after="150"/>
        <w:rPr>
          <w:rFonts w:cs="Arial"/>
          <w:color w:val="0B0C0C"/>
          <w:lang w:eastAsia="en-GB"/>
        </w:rPr>
      </w:pPr>
      <w:r w:rsidRPr="00102976">
        <w:rPr>
          <w:rFonts w:cs="Arial"/>
          <w:color w:val="0B0C0C"/>
          <w:lang w:eastAsia="en-GB"/>
        </w:rPr>
        <w:lastRenderedPageBreak/>
        <w:t>by 31 March 2027, kerbside plastic film collections from businesses and relevant non-domestic premises, and households will be introduced</w:t>
      </w:r>
    </w:p>
    <w:p w14:paraId="39C89D67" w14:textId="59AC342B" w:rsidR="00466430" w:rsidRDefault="00D421EC" w:rsidP="004610B2">
      <w:pPr>
        <w:numPr>
          <w:ilvl w:val="0"/>
          <w:numId w:val="55"/>
        </w:numPr>
        <w:shd w:val="clear" w:color="auto" w:fill="FFFFFF"/>
        <w:spacing w:after="150"/>
        <w:rPr>
          <w:rFonts w:cs="Arial"/>
          <w:color w:val="0B0C0C"/>
          <w:lang w:eastAsia="en-GB"/>
        </w:rPr>
      </w:pPr>
      <w:r>
        <w:rPr>
          <w:rFonts w:cs="Arial"/>
          <w:color w:val="0B0C0C"/>
          <w:lang w:eastAsia="en-GB"/>
        </w:rPr>
        <w:t>Defra</w:t>
      </w:r>
      <w:r w:rsidR="00C416C3">
        <w:rPr>
          <w:rFonts w:cs="Arial"/>
          <w:color w:val="0B0C0C"/>
          <w:lang w:eastAsia="en-GB"/>
        </w:rPr>
        <w:t>,</w:t>
      </w:r>
      <w:r>
        <w:rPr>
          <w:rFonts w:cs="Arial"/>
          <w:color w:val="0B0C0C"/>
          <w:lang w:eastAsia="en-GB"/>
        </w:rPr>
        <w:t xml:space="preserve"> </w:t>
      </w:r>
      <w:r w:rsidR="00553281">
        <w:rPr>
          <w:rFonts w:cs="Arial"/>
          <w:color w:val="0B0C0C"/>
          <w:lang w:eastAsia="en-GB"/>
        </w:rPr>
        <w:t xml:space="preserve">via the scheme administrator PackUK, is providing Oxford City Council </w:t>
      </w:r>
      <w:r w:rsidR="00DE605F">
        <w:rPr>
          <w:rFonts w:cs="Arial"/>
          <w:color w:val="0B0C0C"/>
          <w:lang w:eastAsia="en-GB"/>
        </w:rPr>
        <w:t xml:space="preserve">with a total pEPR </w:t>
      </w:r>
      <w:r w:rsidR="00C15FDA">
        <w:rPr>
          <w:rFonts w:cs="Arial"/>
          <w:color w:val="0B0C0C"/>
          <w:lang w:eastAsia="en-GB"/>
        </w:rPr>
        <w:t xml:space="preserve">£1.985 million for management of </w:t>
      </w:r>
      <w:r w:rsidR="005E6742">
        <w:rPr>
          <w:rFonts w:cs="Arial"/>
          <w:color w:val="0B0C0C"/>
          <w:lang w:eastAsia="en-GB"/>
        </w:rPr>
        <w:t xml:space="preserve">its household packaging and waste and recycling </w:t>
      </w:r>
      <w:r w:rsidR="00FB151C">
        <w:rPr>
          <w:rFonts w:cs="Arial"/>
          <w:color w:val="0B0C0C"/>
          <w:lang w:eastAsia="en-GB"/>
        </w:rPr>
        <w:t>for 2025-26</w:t>
      </w:r>
      <w:r w:rsidR="00C416C3">
        <w:rPr>
          <w:rFonts w:cs="Arial"/>
          <w:color w:val="0B0C0C"/>
          <w:lang w:eastAsia="en-GB"/>
        </w:rPr>
        <w:t>,</w:t>
      </w:r>
      <w:r w:rsidR="00FB151C">
        <w:rPr>
          <w:rFonts w:cs="Arial"/>
          <w:color w:val="0B0C0C"/>
          <w:lang w:eastAsia="en-GB"/>
        </w:rPr>
        <w:t xml:space="preserve"> in 3 payments from December 2025</w:t>
      </w:r>
      <w:r w:rsidR="00FD5726">
        <w:rPr>
          <w:rFonts w:cs="Arial"/>
          <w:color w:val="0B0C0C"/>
          <w:lang w:eastAsia="en-GB"/>
        </w:rPr>
        <w:t xml:space="preserve">. Year 2 indicative funding </w:t>
      </w:r>
      <w:r w:rsidR="009D0619">
        <w:rPr>
          <w:rFonts w:cs="Arial"/>
          <w:color w:val="242424"/>
          <w:sz w:val="28"/>
          <w:szCs w:val="28"/>
          <w:bdr w:val="none" w:sz="0" w:space="0" w:color="auto" w:frame="1"/>
          <w:shd w:val="clear" w:color="auto" w:fill="FFFFFF"/>
        </w:rPr>
        <w:t xml:space="preserve">is </w:t>
      </w:r>
      <w:r w:rsidR="009D0619" w:rsidRPr="009965D1">
        <w:rPr>
          <w:rFonts w:cs="Arial"/>
          <w:color w:val="242424"/>
          <w:bdr w:val="none" w:sz="0" w:space="0" w:color="auto" w:frame="1"/>
          <w:shd w:val="clear" w:color="auto" w:fill="FFFFFF"/>
        </w:rPr>
        <w:t>assessed to be </w:t>
      </w:r>
      <w:r w:rsidR="009D0619" w:rsidRPr="009965D1">
        <w:rPr>
          <w:rFonts w:cs="Arial"/>
          <w:color w:val="000000"/>
          <w:bdr w:val="none" w:sz="0" w:space="0" w:color="auto" w:frame="1"/>
          <w:shd w:val="clear" w:color="auto" w:fill="FFFFFF"/>
        </w:rPr>
        <w:t>£2.031 million for the authority</w:t>
      </w:r>
      <w:r w:rsidR="00C416C3">
        <w:rPr>
          <w:rFonts w:cs="Arial"/>
          <w:color w:val="000000"/>
          <w:bdr w:val="none" w:sz="0" w:space="0" w:color="auto" w:frame="1"/>
          <w:shd w:val="clear" w:color="auto" w:fill="FFFFFF"/>
        </w:rPr>
        <w:t>,</w:t>
      </w:r>
      <w:r w:rsidR="009D0619" w:rsidRPr="009965D1">
        <w:rPr>
          <w:rFonts w:cs="Arial"/>
          <w:color w:val="000000"/>
          <w:bdr w:val="none" w:sz="0" w:space="0" w:color="auto" w:frame="1"/>
          <w:shd w:val="clear" w:color="auto" w:fill="FFFFFF"/>
        </w:rPr>
        <w:t xml:space="preserve"> to cover the period April 2026 to March 2027. </w:t>
      </w:r>
      <w:r w:rsidR="009D0619" w:rsidRPr="009965D1">
        <w:rPr>
          <w:rFonts w:cs="Arial"/>
          <w:color w:val="242424"/>
          <w:bdr w:val="none" w:sz="0" w:space="0" w:color="auto" w:frame="1"/>
          <w:shd w:val="clear" w:color="auto" w:fill="FFFFFF"/>
        </w:rPr>
        <w:t>PackUK will shift the cost of managing household packaging waste from taxpayers and local authorities to those businesses who use and supply the packaging, applying the ‘polluter pays’ principle</w:t>
      </w:r>
      <w:r w:rsidR="00EA1AE7">
        <w:rPr>
          <w:rFonts w:cs="Arial"/>
          <w:color w:val="0B0C0C"/>
          <w:lang w:eastAsia="en-GB"/>
        </w:rPr>
        <w:t xml:space="preserve">.  </w:t>
      </w:r>
    </w:p>
    <w:p w14:paraId="75536286" w14:textId="600232AA" w:rsidR="00514C3F" w:rsidRPr="00514C3F" w:rsidRDefault="000B745E" w:rsidP="00B21876">
      <w:pPr>
        <w:numPr>
          <w:ilvl w:val="0"/>
          <w:numId w:val="55"/>
        </w:numPr>
        <w:shd w:val="clear" w:color="auto" w:fill="FFFFFF"/>
        <w:spacing w:after="150"/>
        <w:ind w:right="386" w:hanging="720"/>
        <w:rPr>
          <w:b/>
          <w:bCs/>
        </w:rPr>
      </w:pPr>
      <w:r w:rsidRPr="00514C3F">
        <w:rPr>
          <w:rFonts w:cs="Arial"/>
          <w:color w:val="0B0C0C"/>
          <w:lang w:eastAsia="en-GB"/>
        </w:rPr>
        <w:t>Through its wholly owned company Oxford Direct Services</w:t>
      </w:r>
      <w:r w:rsidR="00BA3F05" w:rsidRPr="00514C3F">
        <w:rPr>
          <w:rFonts w:cs="Arial"/>
          <w:color w:val="0B0C0C"/>
          <w:lang w:eastAsia="en-GB"/>
        </w:rPr>
        <w:t xml:space="preserve">, the council </w:t>
      </w:r>
      <w:r w:rsidR="002C64CE" w:rsidRPr="00514C3F">
        <w:rPr>
          <w:rFonts w:cs="Arial"/>
          <w:color w:val="0B0C0C"/>
          <w:lang w:eastAsia="en-GB"/>
        </w:rPr>
        <w:t>undertakes domestic</w:t>
      </w:r>
      <w:r w:rsidR="00BA3F05" w:rsidRPr="00514C3F">
        <w:rPr>
          <w:rFonts w:cs="Arial"/>
          <w:color w:val="0B0C0C"/>
          <w:lang w:eastAsia="en-GB"/>
        </w:rPr>
        <w:t xml:space="preserve"> and recycling services much </w:t>
      </w:r>
      <w:r w:rsidR="00890DB8" w:rsidRPr="00514C3F">
        <w:rPr>
          <w:rFonts w:cs="Arial"/>
          <w:color w:val="0B0C0C"/>
          <w:lang w:eastAsia="en-GB"/>
        </w:rPr>
        <w:t xml:space="preserve">of which is in line with the </w:t>
      </w:r>
      <w:r w:rsidR="00BD080D" w:rsidRPr="00514C3F">
        <w:rPr>
          <w:rFonts w:cs="Arial"/>
          <w:color w:val="0B0C0C"/>
          <w:lang w:eastAsia="en-GB"/>
        </w:rPr>
        <w:t xml:space="preserve">Simpler Recycling </w:t>
      </w:r>
      <w:r w:rsidR="00890DB8" w:rsidRPr="00514C3F">
        <w:rPr>
          <w:rFonts w:cs="Arial"/>
          <w:color w:val="0B0C0C"/>
          <w:lang w:eastAsia="en-GB"/>
        </w:rPr>
        <w:t>government policy.</w:t>
      </w:r>
      <w:r w:rsidR="00F41765">
        <w:rPr>
          <w:rFonts w:cs="Arial"/>
          <w:color w:val="0B0C0C"/>
          <w:lang w:eastAsia="en-GB"/>
        </w:rPr>
        <w:t xml:space="preserve"> An action plan is being drawn up </w:t>
      </w:r>
      <w:r w:rsidR="00EF2C59">
        <w:rPr>
          <w:rFonts w:cs="Arial"/>
          <w:color w:val="0B0C0C"/>
          <w:lang w:eastAsia="en-GB"/>
        </w:rPr>
        <w:t xml:space="preserve">to ensure that the </w:t>
      </w:r>
      <w:r w:rsidR="007024CB">
        <w:rPr>
          <w:rFonts w:cs="Arial"/>
          <w:color w:val="0B0C0C"/>
          <w:lang w:eastAsia="en-GB"/>
        </w:rPr>
        <w:t>pEPR</w:t>
      </w:r>
      <w:r w:rsidR="00EF2C59">
        <w:rPr>
          <w:rFonts w:cs="Arial"/>
          <w:color w:val="0B0C0C"/>
          <w:lang w:eastAsia="en-GB"/>
        </w:rPr>
        <w:t xml:space="preserve"> funding received</w:t>
      </w:r>
      <w:r w:rsidR="00F53D74">
        <w:rPr>
          <w:rFonts w:cs="Arial"/>
          <w:color w:val="0B0C0C"/>
          <w:lang w:eastAsia="en-GB"/>
        </w:rPr>
        <w:t xml:space="preserve">, supports key workstreams that </w:t>
      </w:r>
      <w:r w:rsidR="007024CB">
        <w:rPr>
          <w:rFonts w:cs="Arial"/>
          <w:color w:val="0B0C0C"/>
          <w:lang w:eastAsia="en-GB"/>
        </w:rPr>
        <w:t>deliver</w:t>
      </w:r>
      <w:r w:rsidR="00F53D74">
        <w:rPr>
          <w:rFonts w:cs="Arial"/>
          <w:color w:val="0B0C0C"/>
          <w:lang w:eastAsia="en-GB"/>
        </w:rPr>
        <w:t xml:space="preserve"> efficient, effective and improved household waste management and recycling</w:t>
      </w:r>
      <w:r w:rsidR="000B3B20">
        <w:rPr>
          <w:rFonts w:cs="Arial"/>
          <w:color w:val="0B0C0C"/>
          <w:lang w:eastAsia="en-GB"/>
        </w:rPr>
        <w:t xml:space="preserve">, fully aligning with the spend conditions. </w:t>
      </w:r>
    </w:p>
    <w:p w14:paraId="2A382729" w14:textId="54DE75A0" w:rsidR="002C3644" w:rsidRPr="00514C3F" w:rsidRDefault="002C3644" w:rsidP="00514C3F">
      <w:pPr>
        <w:shd w:val="clear" w:color="auto" w:fill="FFFFFF"/>
        <w:spacing w:after="150"/>
        <w:ind w:left="720" w:right="386"/>
        <w:rPr>
          <w:b/>
          <w:bCs/>
        </w:rPr>
      </w:pPr>
      <w:r w:rsidRPr="00514C3F">
        <w:rPr>
          <w:b/>
          <w:bCs/>
        </w:rPr>
        <w:t>Pride in Place Strategy</w:t>
      </w:r>
    </w:p>
    <w:p w14:paraId="1F54E2B4" w14:textId="320C9557" w:rsidR="002C3644" w:rsidRDefault="00851939" w:rsidP="00143DFD">
      <w:pPr>
        <w:ind w:left="720" w:right="386" w:hanging="720"/>
      </w:pPr>
      <w:r>
        <w:t>24</w:t>
      </w:r>
      <w:r w:rsidR="002C3644">
        <w:tab/>
      </w:r>
      <w:r w:rsidR="00D50136">
        <w:t>In September 2025 the Government announced the</w:t>
      </w:r>
      <w:r w:rsidR="00517BF8">
        <w:t>i</w:t>
      </w:r>
      <w:r w:rsidR="00D50136">
        <w:t xml:space="preserve">r </w:t>
      </w:r>
      <w:r w:rsidR="00B874FA">
        <w:t>‘Pride In Place Strategy’</w:t>
      </w:r>
      <w:r w:rsidR="00517BF8">
        <w:t>,</w:t>
      </w:r>
      <w:r w:rsidR="00B874FA">
        <w:t xml:space="preserve"> </w:t>
      </w:r>
      <w:r w:rsidR="00DC35F6">
        <w:t xml:space="preserve">aimed at </w:t>
      </w:r>
      <w:r w:rsidR="00AE5AC2">
        <w:t xml:space="preserve">working more in partnership with communities and </w:t>
      </w:r>
      <w:r w:rsidR="00F53CD5">
        <w:t>neighbourhoods</w:t>
      </w:r>
      <w:r w:rsidR="00AE5AC2">
        <w:t xml:space="preserve">, empowering them </w:t>
      </w:r>
      <w:r w:rsidR="003216BD">
        <w:t xml:space="preserve">with the tools and levers to drive meaningful change that effect their </w:t>
      </w:r>
      <w:r w:rsidR="00F53CD5">
        <w:t>priorities</w:t>
      </w:r>
      <w:r w:rsidR="00CD1E1F">
        <w:t xml:space="preserve">. </w:t>
      </w:r>
      <w:r w:rsidR="00FA7198">
        <w:t xml:space="preserve">The </w:t>
      </w:r>
      <w:r w:rsidR="000A5547">
        <w:t>government’s</w:t>
      </w:r>
      <w:r w:rsidR="00FA7198">
        <w:t xml:space="preserve"> £5 billion programme is aimed at delivering </w:t>
      </w:r>
      <w:r w:rsidR="00233A12">
        <w:t xml:space="preserve">up to £20 million funding and support over the next 10 years into </w:t>
      </w:r>
      <w:r w:rsidR="00BD0B83">
        <w:t>250</w:t>
      </w:r>
      <w:r w:rsidR="00233A12">
        <w:t xml:space="preserve"> places from across the UK. </w:t>
      </w:r>
    </w:p>
    <w:p w14:paraId="2DFF257A" w14:textId="77777777" w:rsidR="00BE2D57" w:rsidRDefault="00BE2D57" w:rsidP="00143DFD">
      <w:pPr>
        <w:ind w:left="720" w:right="386" w:hanging="720"/>
      </w:pPr>
    </w:p>
    <w:p w14:paraId="4C496433" w14:textId="3DDC153B" w:rsidR="00BE2D57" w:rsidRDefault="00851939" w:rsidP="00143DFD">
      <w:pPr>
        <w:ind w:left="720" w:right="386" w:hanging="720"/>
      </w:pPr>
      <w:r>
        <w:t>25</w:t>
      </w:r>
      <w:r>
        <w:tab/>
      </w:r>
      <w:r w:rsidR="00BF366B">
        <w:t>Where the funding will be spent sits with a Neighbourhood Board</w:t>
      </w:r>
      <w:r w:rsidR="00933D54">
        <w:t xml:space="preserve">, led by an independent chair </w:t>
      </w:r>
      <w:r w:rsidR="00F258F5">
        <w:t>t</w:t>
      </w:r>
      <w:r w:rsidR="00933D54">
        <w:t>hat includes residents, local businesses, civil society and community organ</w:t>
      </w:r>
      <w:r w:rsidR="00BD0B83">
        <w:t>i</w:t>
      </w:r>
      <w:r w:rsidR="00933D54">
        <w:t xml:space="preserve">sations working in partnership </w:t>
      </w:r>
      <w:r w:rsidR="00E27FB4">
        <w:t xml:space="preserve">with their respective authority. </w:t>
      </w:r>
      <w:r w:rsidR="00BF366B">
        <w:t xml:space="preserve"> </w:t>
      </w:r>
    </w:p>
    <w:p w14:paraId="03CBA767" w14:textId="77777777" w:rsidR="006220E8" w:rsidRDefault="006220E8" w:rsidP="00143DFD">
      <w:pPr>
        <w:ind w:left="720" w:right="386" w:hanging="720"/>
      </w:pPr>
    </w:p>
    <w:p w14:paraId="51EDB63D" w14:textId="57D7477D" w:rsidR="006220E8" w:rsidRDefault="00851939" w:rsidP="00143DFD">
      <w:pPr>
        <w:ind w:left="720" w:right="386" w:hanging="720"/>
      </w:pPr>
      <w:r>
        <w:t>26</w:t>
      </w:r>
      <w:r>
        <w:tab/>
      </w:r>
      <w:r w:rsidR="006220E8">
        <w:t xml:space="preserve">Greater Leys has been identified as part of </w:t>
      </w:r>
      <w:r w:rsidR="00B73CAE">
        <w:t xml:space="preserve">the programme to receive funds with the funding timelines </w:t>
      </w:r>
      <w:r w:rsidR="0075186A">
        <w:t>being:</w:t>
      </w:r>
    </w:p>
    <w:p w14:paraId="5515195D" w14:textId="77777777" w:rsidR="00B73CAE" w:rsidRDefault="00B73CAE" w:rsidP="00143DFD">
      <w:pPr>
        <w:ind w:left="720" w:right="386" w:hanging="720"/>
      </w:pPr>
    </w:p>
    <w:p w14:paraId="3B63AA49" w14:textId="77777777" w:rsidR="00AE6DE2" w:rsidRDefault="00AE6DE2" w:rsidP="00AE6DE2">
      <w:pPr>
        <w:pStyle w:val="xxmsonormal"/>
        <w:numPr>
          <w:ilvl w:val="0"/>
          <w:numId w:val="43"/>
        </w:numPr>
        <w:shd w:val="clear" w:color="auto" w:fill="FFFFFF"/>
        <w:spacing w:before="0" w:beforeAutospacing="0" w:after="0" w:afterAutospacing="0"/>
        <w:rPr>
          <w:rFonts w:ascii="Aptos" w:hAnsi="Aptos"/>
          <w:color w:val="242424"/>
        </w:rPr>
      </w:pPr>
      <w:r>
        <w:rPr>
          <w:rFonts w:ascii="Arial" w:hAnsi="Arial" w:cs="Arial"/>
          <w:b/>
          <w:bCs/>
          <w:color w:val="242424"/>
          <w:bdr w:val="none" w:sz="0" w:space="0" w:color="auto" w:frame="1"/>
        </w:rPr>
        <w:t>Winter 2025/26 </w:t>
      </w:r>
      <w:r>
        <w:rPr>
          <w:rFonts w:ascii="Arial" w:hAnsi="Arial" w:cs="Arial"/>
          <w:color w:val="242424"/>
          <w:bdr w:val="none" w:sz="0" w:space="0" w:color="auto" w:frame="1"/>
        </w:rPr>
        <w:t>Neighbourhood Boards and local authorities receive a tailored data pack detailing</w:t>
      </w:r>
    </w:p>
    <w:p w14:paraId="79887940" w14:textId="2C5FA875" w:rsidR="00AE6DE2" w:rsidRDefault="00AE6DE2" w:rsidP="00AE6DE2">
      <w:pPr>
        <w:pStyle w:val="xxmsonormal"/>
        <w:numPr>
          <w:ilvl w:val="0"/>
          <w:numId w:val="43"/>
        </w:numPr>
        <w:shd w:val="clear" w:color="auto" w:fill="FFFFFF"/>
        <w:spacing w:before="0" w:beforeAutospacing="0" w:after="0" w:afterAutospacing="0"/>
        <w:rPr>
          <w:rFonts w:ascii="Aptos" w:hAnsi="Aptos"/>
          <w:color w:val="242424"/>
        </w:rPr>
      </w:pPr>
      <w:r>
        <w:rPr>
          <w:color w:val="242424"/>
          <w:sz w:val="14"/>
          <w:szCs w:val="14"/>
          <w:bdr w:val="none" w:sz="0" w:space="0" w:color="auto" w:frame="1"/>
        </w:rPr>
        <w:t> </w:t>
      </w:r>
      <w:r>
        <w:rPr>
          <w:rFonts w:ascii="Arial" w:hAnsi="Arial" w:cs="Arial"/>
          <w:b/>
          <w:bCs/>
          <w:color w:val="242424"/>
          <w:bdr w:val="none" w:sz="0" w:space="0" w:color="auto" w:frame="1"/>
        </w:rPr>
        <w:t>Spring 2026 </w:t>
      </w:r>
      <w:r>
        <w:rPr>
          <w:rFonts w:ascii="Arial" w:hAnsi="Arial" w:cs="Arial"/>
          <w:color w:val="242424"/>
          <w:bdr w:val="none" w:sz="0" w:space="0" w:color="auto" w:frame="1"/>
        </w:rPr>
        <w:t>MHCLG issues 2026 to 2027 capacity and capital funding payment to all </w:t>
      </w:r>
      <w:r>
        <w:rPr>
          <w:rStyle w:val="markiemstwv7e"/>
          <w:rFonts w:ascii="Arial" w:hAnsi="Arial" w:cs="Arial"/>
          <w:color w:val="242424"/>
          <w:bdr w:val="none" w:sz="0" w:space="0" w:color="auto" w:frame="1"/>
        </w:rPr>
        <w:t>place</w:t>
      </w:r>
      <w:r>
        <w:rPr>
          <w:rFonts w:ascii="Arial" w:hAnsi="Arial" w:cs="Arial"/>
          <w:color w:val="242424"/>
          <w:bdr w:val="none" w:sz="0" w:space="0" w:color="auto" w:frame="1"/>
        </w:rPr>
        <w:t>s</w:t>
      </w:r>
      <w:r>
        <w:rPr>
          <w:rFonts w:ascii="Arial" w:hAnsi="Arial" w:cs="Arial"/>
          <w:color w:val="242424"/>
          <w:bdr w:val="none" w:sz="0" w:space="0" w:color="auto" w:frame="1"/>
          <w:lang w:val="en-US"/>
        </w:rPr>
        <w:t>​</w:t>
      </w:r>
    </w:p>
    <w:p w14:paraId="03A0838A" w14:textId="62A622CB" w:rsidR="00AE6DE2" w:rsidRDefault="00AE6DE2" w:rsidP="00AE6DE2">
      <w:pPr>
        <w:pStyle w:val="xxmsonormal"/>
        <w:numPr>
          <w:ilvl w:val="0"/>
          <w:numId w:val="43"/>
        </w:numPr>
        <w:shd w:val="clear" w:color="auto" w:fill="FFFFFF"/>
        <w:spacing w:before="0" w:beforeAutospacing="0" w:after="0" w:afterAutospacing="0"/>
        <w:rPr>
          <w:rFonts w:ascii="Aptos" w:hAnsi="Aptos"/>
          <w:color w:val="242424"/>
        </w:rPr>
      </w:pPr>
      <w:r>
        <w:rPr>
          <w:color w:val="242424"/>
          <w:sz w:val="14"/>
          <w:szCs w:val="14"/>
          <w:bdr w:val="none" w:sz="0" w:space="0" w:color="auto" w:frame="1"/>
        </w:rPr>
        <w:t> </w:t>
      </w:r>
      <w:r>
        <w:rPr>
          <w:rFonts w:ascii="Arial" w:hAnsi="Arial" w:cs="Arial"/>
          <w:b/>
          <w:bCs/>
          <w:color w:val="242424"/>
          <w:bdr w:val="none" w:sz="0" w:space="0" w:color="auto" w:frame="1"/>
        </w:rPr>
        <w:t>Summer 2026 </w:t>
      </w:r>
      <w:r>
        <w:rPr>
          <w:rFonts w:ascii="Arial" w:hAnsi="Arial" w:cs="Arial"/>
          <w:color w:val="242424"/>
          <w:bdr w:val="none" w:sz="0" w:space="0" w:color="auto" w:frame="1"/>
        </w:rPr>
        <w:t>Neighbourhood Boards to confirm finalised membership and boundary </w:t>
      </w:r>
      <w:r>
        <w:rPr>
          <w:rFonts w:ascii="Arial" w:hAnsi="Arial" w:cs="Arial"/>
          <w:color w:val="242424"/>
          <w:bdr w:val="none" w:sz="0" w:space="0" w:color="auto" w:frame="1"/>
          <w:lang w:val="en-US"/>
        </w:rPr>
        <w:t>​proposals</w:t>
      </w:r>
    </w:p>
    <w:p w14:paraId="3FE2FF34" w14:textId="5839CC6A" w:rsidR="00AE6DE2" w:rsidRDefault="00AE6DE2" w:rsidP="00AE6DE2">
      <w:pPr>
        <w:pStyle w:val="xxmsonormal"/>
        <w:numPr>
          <w:ilvl w:val="0"/>
          <w:numId w:val="43"/>
        </w:numPr>
        <w:shd w:val="clear" w:color="auto" w:fill="FFFFFF"/>
        <w:spacing w:before="0" w:beforeAutospacing="0" w:after="0" w:afterAutospacing="0"/>
        <w:rPr>
          <w:rFonts w:ascii="Aptos" w:hAnsi="Aptos"/>
          <w:color w:val="242424"/>
        </w:rPr>
      </w:pPr>
      <w:r>
        <w:rPr>
          <w:color w:val="242424"/>
          <w:sz w:val="14"/>
          <w:szCs w:val="14"/>
          <w:bdr w:val="none" w:sz="0" w:space="0" w:color="auto" w:frame="1"/>
        </w:rPr>
        <w:t> </w:t>
      </w:r>
      <w:r>
        <w:rPr>
          <w:rFonts w:ascii="Arial" w:hAnsi="Arial" w:cs="Arial"/>
          <w:b/>
          <w:bCs/>
          <w:color w:val="242424"/>
          <w:bdr w:val="none" w:sz="0" w:space="0" w:color="auto" w:frame="1"/>
        </w:rPr>
        <w:t>Winter 2026/27 </w:t>
      </w:r>
      <w:r>
        <w:rPr>
          <w:rFonts w:ascii="Arial" w:hAnsi="Arial" w:cs="Arial"/>
          <w:color w:val="242424"/>
          <w:bdr w:val="none" w:sz="0" w:space="0" w:color="auto" w:frame="1"/>
        </w:rPr>
        <w:t>Neighbourhood Boards submit their Regeneration Plan to MHCLG for assessment and approval </w:t>
      </w:r>
      <w:r>
        <w:rPr>
          <w:rFonts w:ascii="Arial" w:hAnsi="Arial" w:cs="Arial"/>
          <w:color w:val="242424"/>
          <w:bdr w:val="none" w:sz="0" w:space="0" w:color="auto" w:frame="1"/>
          <w:lang w:val="en-US"/>
        </w:rPr>
        <w:t>​</w:t>
      </w:r>
    </w:p>
    <w:p w14:paraId="02653EF8" w14:textId="0DA8C170" w:rsidR="00AE6DE2" w:rsidRPr="007024CB" w:rsidRDefault="00AE6DE2" w:rsidP="00AE6DE2">
      <w:pPr>
        <w:pStyle w:val="xxmsonormal"/>
        <w:numPr>
          <w:ilvl w:val="0"/>
          <w:numId w:val="43"/>
        </w:numPr>
        <w:shd w:val="clear" w:color="auto" w:fill="FFFFFF"/>
        <w:spacing w:before="0" w:beforeAutospacing="0" w:after="0" w:afterAutospacing="0"/>
        <w:rPr>
          <w:rFonts w:ascii="Aptos" w:hAnsi="Aptos"/>
          <w:color w:val="242424"/>
        </w:rPr>
      </w:pPr>
      <w:r>
        <w:rPr>
          <w:rFonts w:ascii="Arial" w:hAnsi="Arial" w:cs="Arial"/>
          <w:b/>
          <w:bCs/>
          <w:color w:val="242424"/>
          <w:bdr w:val="none" w:sz="0" w:space="0" w:color="auto" w:frame="1"/>
        </w:rPr>
        <w:t>Spring 2027 </w:t>
      </w:r>
      <w:r>
        <w:rPr>
          <w:rFonts w:ascii="Arial" w:hAnsi="Arial" w:cs="Arial"/>
          <w:color w:val="242424"/>
          <w:bdr w:val="none" w:sz="0" w:space="0" w:color="auto" w:frame="1"/>
        </w:rPr>
        <w:t>MHCLG approve regeneration plans. First substantive delivery funding payment to be made to local authorities, commencement of delivery phas</w:t>
      </w:r>
      <w:r w:rsidR="007024CB">
        <w:rPr>
          <w:rFonts w:ascii="Arial" w:hAnsi="Arial" w:cs="Arial"/>
          <w:color w:val="242424"/>
          <w:bdr w:val="none" w:sz="0" w:space="0" w:color="auto" w:frame="1"/>
        </w:rPr>
        <w:t>e</w:t>
      </w:r>
    </w:p>
    <w:p w14:paraId="23A0D845" w14:textId="77777777" w:rsidR="007024CB" w:rsidRDefault="007024CB" w:rsidP="007024CB">
      <w:pPr>
        <w:pStyle w:val="xxmsonormal"/>
        <w:shd w:val="clear" w:color="auto" w:fill="FFFFFF"/>
        <w:spacing w:before="0" w:beforeAutospacing="0" w:after="0" w:afterAutospacing="0"/>
        <w:ind w:left="1080"/>
        <w:rPr>
          <w:rFonts w:ascii="Aptos" w:hAnsi="Aptos"/>
          <w:color w:val="242424"/>
        </w:rPr>
      </w:pPr>
    </w:p>
    <w:p w14:paraId="17EAD6AB" w14:textId="30FA1D57" w:rsidR="6E37FCBD" w:rsidRDefault="00851939" w:rsidP="001F2BCF">
      <w:pPr>
        <w:ind w:left="720" w:right="386" w:hanging="720"/>
      </w:pPr>
      <w:r>
        <w:t>27</w:t>
      </w:r>
      <w:r>
        <w:tab/>
      </w:r>
      <w:r w:rsidR="000359C5">
        <w:t xml:space="preserve">The funding </w:t>
      </w:r>
      <w:r w:rsidR="000C39AF">
        <w:t xml:space="preserve">which is likely to be held by the Council as accountable body </w:t>
      </w:r>
      <w:r w:rsidR="000359C5">
        <w:t xml:space="preserve">will include circa 37% revenue support for managing and delivering projects although further information is still awaited on the publication of the prospectus. </w:t>
      </w:r>
      <w:r w:rsidR="00AF339E">
        <w:t>Cabinet approval will be required at the appro</w:t>
      </w:r>
      <w:r w:rsidR="009E6D92">
        <w:t>priate time to secure funding approvals</w:t>
      </w:r>
      <w:r w:rsidR="003210AB">
        <w:t>.</w:t>
      </w:r>
      <w:r w:rsidR="009E6D92">
        <w:t xml:space="preserve"> </w:t>
      </w:r>
    </w:p>
    <w:p w14:paraId="413F50FA" w14:textId="77777777" w:rsidR="009E6D92" w:rsidRPr="00143DFD" w:rsidRDefault="009E6D92" w:rsidP="001F2BCF">
      <w:pPr>
        <w:ind w:left="720" w:right="386"/>
      </w:pPr>
    </w:p>
    <w:p w14:paraId="7227A719" w14:textId="7CE1E85D" w:rsidR="00384BE3" w:rsidRPr="00143DFD" w:rsidRDefault="00731C9C" w:rsidP="00143DFD">
      <w:pPr>
        <w:spacing w:after="120"/>
        <w:ind w:right="386" w:firstLine="24"/>
        <w:rPr>
          <w:b/>
        </w:rPr>
      </w:pPr>
      <w:r w:rsidRPr="00143DFD">
        <w:rPr>
          <w:b/>
        </w:rPr>
        <w:t>Corporate Priorities</w:t>
      </w:r>
    </w:p>
    <w:p w14:paraId="76425500" w14:textId="0179F0EA" w:rsidR="000B78D2" w:rsidRPr="00603A54" w:rsidRDefault="000B78D2" w:rsidP="001F2BCF">
      <w:pPr>
        <w:pStyle w:val="ListParagraph"/>
        <w:numPr>
          <w:ilvl w:val="0"/>
          <w:numId w:val="47"/>
        </w:numPr>
        <w:spacing w:after="120"/>
        <w:ind w:right="386"/>
      </w:pPr>
      <w:r w:rsidRPr="00143DFD">
        <w:lastRenderedPageBreak/>
        <w:t>As in previous year</w:t>
      </w:r>
      <w:r w:rsidR="002F1211" w:rsidRPr="00143DFD">
        <w:t>s</w:t>
      </w:r>
      <w:r w:rsidRPr="00603A54">
        <w:t xml:space="preserve"> the Cabinet will set a consultation budget in December with a view to presenting a final budget taking account </w:t>
      </w:r>
      <w:r w:rsidR="00F04BA4" w:rsidRPr="00603A54">
        <w:t xml:space="preserve">of </w:t>
      </w:r>
      <w:r w:rsidRPr="00603A54">
        <w:t xml:space="preserve">the results of this consultation to Cabinet and Council in </w:t>
      </w:r>
      <w:r w:rsidR="00D93703" w:rsidRPr="00603A54">
        <w:t>February</w:t>
      </w:r>
      <w:r w:rsidR="00382904" w:rsidRPr="00603A54">
        <w:t xml:space="preserve"> 202</w:t>
      </w:r>
      <w:r w:rsidR="00603A54">
        <w:t>6</w:t>
      </w:r>
      <w:r w:rsidR="00382904" w:rsidRPr="00603A54">
        <w:t xml:space="preserve"> in line with its key </w:t>
      </w:r>
      <w:r w:rsidR="00D93703" w:rsidRPr="00603A54">
        <w:t>corporate</w:t>
      </w:r>
      <w:r w:rsidR="00382904" w:rsidRPr="00603A54">
        <w:t xml:space="preserve"> priorities</w:t>
      </w:r>
      <w:r w:rsidR="008F4F7B" w:rsidRPr="00603A54">
        <w:t xml:space="preserve"> approved at Cabinet in </w:t>
      </w:r>
      <w:r w:rsidR="5E4E8D37" w:rsidRPr="00603A54">
        <w:t xml:space="preserve">July </w:t>
      </w:r>
      <w:r w:rsidR="641B4D11" w:rsidRPr="00603A54">
        <w:t>202</w:t>
      </w:r>
      <w:r w:rsidR="7ACE20D2" w:rsidRPr="00603A54">
        <w:t>4</w:t>
      </w:r>
      <w:r w:rsidR="00603A54">
        <w:t xml:space="preserve"> which remain unchanged</w:t>
      </w:r>
      <w:r w:rsidR="00382904" w:rsidRPr="00603A54">
        <w:t>:</w:t>
      </w:r>
    </w:p>
    <w:p w14:paraId="69C3E8FE" w14:textId="77777777" w:rsidR="00382904" w:rsidRPr="00603A54" w:rsidRDefault="00CD5621" w:rsidP="00712800">
      <w:pPr>
        <w:pStyle w:val="ListParagraph"/>
        <w:numPr>
          <w:ilvl w:val="0"/>
          <w:numId w:val="7"/>
        </w:numPr>
        <w:contextualSpacing/>
      </w:pPr>
      <w:r w:rsidRPr="00603A54">
        <w:rPr>
          <w:b/>
        </w:rPr>
        <w:t>Enable</w:t>
      </w:r>
      <w:r w:rsidR="00382904" w:rsidRPr="00603A54">
        <w:rPr>
          <w:b/>
        </w:rPr>
        <w:t xml:space="preserve"> an inclusive economy</w:t>
      </w:r>
      <w:r w:rsidR="00382904" w:rsidRPr="00603A54">
        <w:t>, key deliverables include:</w:t>
      </w:r>
    </w:p>
    <w:p w14:paraId="1BCE4C31" w14:textId="0CECE050" w:rsidR="00382904" w:rsidRPr="00603A54" w:rsidRDefault="00382904" w:rsidP="00712800">
      <w:pPr>
        <w:pStyle w:val="ListParagraph"/>
        <w:numPr>
          <w:ilvl w:val="1"/>
          <w:numId w:val="7"/>
        </w:numPr>
        <w:ind w:left="1560" w:hanging="426"/>
        <w:contextualSpacing/>
      </w:pPr>
      <w:r w:rsidRPr="00603A54">
        <w:t xml:space="preserve">The Council’s staff are skilled and confident in delivering services our </w:t>
      </w:r>
      <w:r w:rsidR="00565092" w:rsidRPr="00603A54">
        <w:t>residents ‘need</w:t>
      </w:r>
      <w:r w:rsidRPr="00603A54">
        <w:t xml:space="preserve"> and the workforce as a whole better reflects Oxford’s diverse </w:t>
      </w:r>
      <w:r w:rsidR="00565092" w:rsidRPr="00603A54">
        <w:t>population.</w:t>
      </w:r>
    </w:p>
    <w:p w14:paraId="544DA733" w14:textId="30789AC2" w:rsidR="00382904" w:rsidRPr="00603A54" w:rsidRDefault="00382904" w:rsidP="00712800">
      <w:pPr>
        <w:pStyle w:val="ListParagraph"/>
        <w:numPr>
          <w:ilvl w:val="1"/>
          <w:numId w:val="7"/>
        </w:numPr>
        <w:ind w:left="1560" w:hanging="426"/>
        <w:contextualSpacing/>
      </w:pPr>
      <w:r w:rsidRPr="00603A54">
        <w:t xml:space="preserve">The Council’s supply chain supports more local businesses, including social enterprises and cooperatives, promoting wider benefits to the local </w:t>
      </w:r>
      <w:r w:rsidR="00565092" w:rsidRPr="00603A54">
        <w:t>economy.</w:t>
      </w:r>
    </w:p>
    <w:p w14:paraId="7C4D47F5" w14:textId="5B9E6A52" w:rsidR="1BBDCCDB" w:rsidRPr="00603A54" w:rsidRDefault="1BBDCCDB" w:rsidP="00712800">
      <w:pPr>
        <w:pStyle w:val="ListParagraph"/>
        <w:numPr>
          <w:ilvl w:val="1"/>
          <w:numId w:val="7"/>
        </w:numPr>
        <w:ind w:left="1560" w:hanging="426"/>
        <w:contextualSpacing/>
      </w:pPr>
      <w:r w:rsidRPr="00603A54">
        <w:t xml:space="preserve">The Council delivers inclusive economic growth by supporting the delivery of new jobs and </w:t>
      </w:r>
      <w:r w:rsidR="00565092" w:rsidRPr="00603A54">
        <w:t>infrastructure.</w:t>
      </w:r>
    </w:p>
    <w:p w14:paraId="42144098" w14:textId="7BD4CFF2" w:rsidR="00382904" w:rsidRPr="00603A54" w:rsidRDefault="00382904" w:rsidP="00712800">
      <w:pPr>
        <w:pStyle w:val="ListParagraph"/>
        <w:numPr>
          <w:ilvl w:val="0"/>
          <w:numId w:val="7"/>
        </w:numPr>
        <w:contextualSpacing/>
      </w:pPr>
      <w:r w:rsidRPr="00603A54">
        <w:rPr>
          <w:b/>
        </w:rPr>
        <w:t>Deliver more, affordable housing</w:t>
      </w:r>
      <w:r w:rsidRPr="00603A54">
        <w:t>, key deliverables include</w:t>
      </w:r>
      <w:r w:rsidR="00565092" w:rsidRPr="00603A54">
        <w:t>:</w:t>
      </w:r>
    </w:p>
    <w:p w14:paraId="1DFEE4BB" w14:textId="2F84C9AF" w:rsidR="00382904" w:rsidRPr="00603A54" w:rsidRDefault="00382904" w:rsidP="00712800">
      <w:pPr>
        <w:pStyle w:val="ListParagraph"/>
        <w:numPr>
          <w:ilvl w:val="1"/>
          <w:numId w:val="7"/>
        </w:numPr>
        <w:ind w:left="1560" w:hanging="426"/>
        <w:contextualSpacing/>
        <w:rPr>
          <w:color w:val="000000" w:themeColor="text1"/>
          <w:lang w:eastAsia="en-GB"/>
        </w:rPr>
      </w:pPr>
      <w:r w:rsidRPr="00603A54">
        <w:rPr>
          <w:color w:val="000000" w:themeColor="text1"/>
          <w:lang w:eastAsia="en-GB"/>
        </w:rPr>
        <w:t>The Council ha</w:t>
      </w:r>
      <w:r w:rsidR="00F04BA4" w:rsidRPr="00603A54">
        <w:rPr>
          <w:color w:val="000000" w:themeColor="text1"/>
          <w:lang w:eastAsia="en-GB"/>
        </w:rPr>
        <w:t>s</w:t>
      </w:r>
      <w:r w:rsidRPr="00603A54">
        <w:rPr>
          <w:color w:val="000000" w:themeColor="text1"/>
          <w:lang w:eastAsia="en-GB"/>
        </w:rPr>
        <w:t xml:space="preserve"> increased the supply of high quality, energy efficient housing with a balanced mix of homes for sale and to rent at different price </w:t>
      </w:r>
      <w:r w:rsidR="00565092" w:rsidRPr="00603A54">
        <w:rPr>
          <w:color w:val="000000" w:themeColor="text1"/>
          <w:lang w:eastAsia="en-GB"/>
        </w:rPr>
        <w:t>points.</w:t>
      </w:r>
      <w:r w:rsidRPr="00603A54">
        <w:rPr>
          <w:color w:val="000000" w:themeColor="text1"/>
          <w:lang w:eastAsia="en-GB"/>
        </w:rPr>
        <w:t xml:space="preserve"> </w:t>
      </w:r>
    </w:p>
    <w:p w14:paraId="5699A7C8" w14:textId="689724C2" w:rsidR="00382904" w:rsidRPr="00603A54" w:rsidRDefault="00382904" w:rsidP="00712800">
      <w:pPr>
        <w:pStyle w:val="ListParagraph"/>
        <w:numPr>
          <w:ilvl w:val="1"/>
          <w:numId w:val="7"/>
        </w:numPr>
        <w:ind w:left="1560" w:hanging="426"/>
        <w:contextualSpacing/>
        <w:rPr>
          <w:color w:val="000000" w:themeColor="text1"/>
          <w:lang w:eastAsia="en-GB"/>
        </w:rPr>
      </w:pPr>
      <w:r w:rsidRPr="00603A54">
        <w:rPr>
          <w:color w:val="000000" w:themeColor="text1"/>
          <w:lang w:eastAsia="en-GB"/>
        </w:rPr>
        <w:t xml:space="preserve">The Council’s Blackbird Leys regeneration delivers high quality homes and a better use of </w:t>
      </w:r>
      <w:r w:rsidR="00565092" w:rsidRPr="00603A54">
        <w:rPr>
          <w:color w:val="000000" w:themeColor="text1"/>
          <w:lang w:eastAsia="en-GB"/>
        </w:rPr>
        <w:t>space.</w:t>
      </w:r>
    </w:p>
    <w:p w14:paraId="5FC6994B" w14:textId="6CBA8B36" w:rsidR="00382904" w:rsidRPr="00603A54" w:rsidRDefault="00382904" w:rsidP="00712800">
      <w:pPr>
        <w:pStyle w:val="ListParagraph"/>
        <w:numPr>
          <w:ilvl w:val="1"/>
          <w:numId w:val="7"/>
        </w:numPr>
        <w:ind w:left="1560" w:hanging="426"/>
        <w:contextualSpacing/>
        <w:rPr>
          <w:color w:val="000000" w:themeColor="text1"/>
          <w:lang w:eastAsia="en-GB"/>
        </w:rPr>
      </w:pPr>
      <w:r w:rsidRPr="00603A54">
        <w:rPr>
          <w:color w:val="000000" w:themeColor="text1"/>
          <w:lang w:eastAsia="en-GB"/>
        </w:rPr>
        <w:t xml:space="preserve">More Council and private sector tenants are supported to stay in their homes where they face the prospect of </w:t>
      </w:r>
      <w:r w:rsidR="00565092" w:rsidRPr="00603A54">
        <w:rPr>
          <w:color w:val="000000" w:themeColor="text1"/>
          <w:lang w:eastAsia="en-GB"/>
        </w:rPr>
        <w:t>eviction.</w:t>
      </w:r>
    </w:p>
    <w:p w14:paraId="60F3B2D4" w14:textId="1C6076D4" w:rsidR="00382904" w:rsidRPr="00603A54" w:rsidRDefault="00382904" w:rsidP="00712800">
      <w:pPr>
        <w:pStyle w:val="ListParagraph"/>
        <w:numPr>
          <w:ilvl w:val="0"/>
          <w:numId w:val="7"/>
        </w:numPr>
        <w:ind w:left="1134" w:hanging="425"/>
        <w:contextualSpacing/>
      </w:pPr>
      <w:r w:rsidRPr="00603A54">
        <w:rPr>
          <w:b/>
        </w:rPr>
        <w:t xml:space="preserve">Support </w:t>
      </w:r>
      <w:r w:rsidR="00CD5621" w:rsidRPr="00603A54">
        <w:rPr>
          <w:b/>
        </w:rPr>
        <w:t>thriving</w:t>
      </w:r>
      <w:r w:rsidRPr="00603A54">
        <w:rPr>
          <w:b/>
        </w:rPr>
        <w:t xml:space="preserve"> communities</w:t>
      </w:r>
      <w:r w:rsidRPr="00603A54">
        <w:t>, key deliverables include</w:t>
      </w:r>
      <w:r w:rsidR="00565092" w:rsidRPr="00603A54">
        <w:t>:</w:t>
      </w:r>
    </w:p>
    <w:p w14:paraId="00204E07" w14:textId="3C85CD5E" w:rsidR="00382904" w:rsidRPr="00603A54" w:rsidRDefault="00382904" w:rsidP="00712800">
      <w:pPr>
        <w:pStyle w:val="ListParagraph"/>
        <w:numPr>
          <w:ilvl w:val="1"/>
          <w:numId w:val="7"/>
        </w:numPr>
        <w:ind w:left="1560" w:hanging="426"/>
        <w:contextualSpacing/>
        <w:rPr>
          <w:color w:val="000000" w:themeColor="text1"/>
          <w:lang w:eastAsia="en-GB"/>
        </w:rPr>
      </w:pPr>
      <w:r w:rsidRPr="00603A54">
        <w:rPr>
          <w:color w:val="000000" w:themeColor="text1"/>
          <w:lang w:eastAsia="en-GB"/>
        </w:rPr>
        <w:t xml:space="preserve">The Council’s services, grants, community and leisure facilities, parks and cultural events have helped reduce inequality, increase cohesion and improve health and wellbeing across Oxford’s </w:t>
      </w:r>
      <w:r w:rsidR="00565092" w:rsidRPr="00603A54">
        <w:rPr>
          <w:color w:val="000000" w:themeColor="text1"/>
          <w:lang w:eastAsia="en-GB"/>
        </w:rPr>
        <w:t>communities.</w:t>
      </w:r>
    </w:p>
    <w:p w14:paraId="725E224E" w14:textId="5C914ABD" w:rsidR="00382904" w:rsidRPr="00603A54" w:rsidRDefault="00382904" w:rsidP="00712800">
      <w:pPr>
        <w:pStyle w:val="ListParagraph"/>
        <w:numPr>
          <w:ilvl w:val="1"/>
          <w:numId w:val="7"/>
        </w:numPr>
        <w:ind w:left="1560" w:hanging="426"/>
        <w:contextualSpacing/>
        <w:rPr>
          <w:color w:val="000000" w:themeColor="text1"/>
          <w:lang w:eastAsia="en-GB"/>
        </w:rPr>
      </w:pPr>
      <w:r w:rsidRPr="00603A54">
        <w:rPr>
          <w:color w:val="000000" w:themeColor="text1"/>
          <w:lang w:eastAsia="en-GB"/>
        </w:rPr>
        <w:t xml:space="preserve">Children and young people’s resilience and confidence is increased through the educational and recreational activities </w:t>
      </w:r>
      <w:r w:rsidR="00F04BA4" w:rsidRPr="00603A54">
        <w:rPr>
          <w:color w:val="000000" w:themeColor="text1"/>
          <w:lang w:eastAsia="en-GB"/>
        </w:rPr>
        <w:t>the Council</w:t>
      </w:r>
      <w:r w:rsidRPr="00603A54">
        <w:rPr>
          <w:color w:val="000000" w:themeColor="text1"/>
          <w:lang w:eastAsia="en-GB"/>
        </w:rPr>
        <w:t xml:space="preserve"> </w:t>
      </w:r>
      <w:r w:rsidR="00565092" w:rsidRPr="00603A54">
        <w:rPr>
          <w:color w:val="000000" w:themeColor="text1"/>
          <w:lang w:eastAsia="en-GB"/>
        </w:rPr>
        <w:t>offers.</w:t>
      </w:r>
    </w:p>
    <w:p w14:paraId="2056FA48" w14:textId="1E6FE4A3" w:rsidR="00382904" w:rsidRPr="00603A54" w:rsidRDefault="00382904" w:rsidP="00712800">
      <w:pPr>
        <w:pStyle w:val="ListParagraph"/>
        <w:numPr>
          <w:ilvl w:val="1"/>
          <w:numId w:val="7"/>
        </w:numPr>
        <w:ind w:left="1560" w:hanging="426"/>
        <w:contextualSpacing/>
        <w:rPr>
          <w:color w:val="000000" w:themeColor="text1"/>
          <w:lang w:eastAsia="en-GB"/>
        </w:rPr>
      </w:pPr>
      <w:r w:rsidRPr="00603A54">
        <w:rPr>
          <w:color w:val="000000" w:themeColor="text1"/>
          <w:lang w:eastAsia="en-GB"/>
        </w:rPr>
        <w:t xml:space="preserve">The Council’s public spaces remain clean, safe, well maintained and are more </w:t>
      </w:r>
      <w:r w:rsidR="00565092" w:rsidRPr="00603A54">
        <w:rPr>
          <w:color w:val="000000" w:themeColor="text1"/>
          <w:lang w:eastAsia="en-GB"/>
        </w:rPr>
        <w:t>accessible.</w:t>
      </w:r>
    </w:p>
    <w:p w14:paraId="43CC6C41" w14:textId="2577C555" w:rsidR="00382904" w:rsidRPr="00603A54" w:rsidRDefault="00382904" w:rsidP="00712800">
      <w:pPr>
        <w:pStyle w:val="ListParagraph"/>
        <w:numPr>
          <w:ilvl w:val="0"/>
          <w:numId w:val="7"/>
        </w:numPr>
        <w:ind w:left="1134" w:hanging="425"/>
        <w:contextualSpacing/>
      </w:pPr>
      <w:r w:rsidRPr="00603A54">
        <w:rPr>
          <w:b/>
        </w:rPr>
        <w:t>Pursue a zero carbon Oxford</w:t>
      </w:r>
      <w:r w:rsidR="730659EB" w:rsidRPr="00603A54">
        <w:rPr>
          <w:b/>
        </w:rPr>
        <w:t>,</w:t>
      </w:r>
      <w:r w:rsidRPr="00603A54">
        <w:t xml:space="preserve"> key deliverables include</w:t>
      </w:r>
      <w:r w:rsidR="00565092" w:rsidRPr="00603A54">
        <w:t>:</w:t>
      </w:r>
    </w:p>
    <w:p w14:paraId="1461DA20" w14:textId="4343C043" w:rsidR="00382904" w:rsidRPr="00603A54" w:rsidRDefault="00382904" w:rsidP="00712800">
      <w:pPr>
        <w:pStyle w:val="ListParagraph"/>
        <w:numPr>
          <w:ilvl w:val="1"/>
          <w:numId w:val="7"/>
        </w:numPr>
        <w:ind w:left="1560" w:hanging="426"/>
        <w:contextualSpacing/>
        <w:rPr>
          <w:color w:val="000000" w:themeColor="text1"/>
          <w:lang w:eastAsia="en-GB"/>
        </w:rPr>
      </w:pPr>
      <w:r w:rsidRPr="00603A54">
        <w:rPr>
          <w:color w:val="000000" w:themeColor="text1"/>
          <w:lang w:eastAsia="en-GB"/>
        </w:rPr>
        <w:t xml:space="preserve">The City Council making significant progress on the journey to reduce its own carbon footprint to </w:t>
      </w:r>
      <w:r w:rsidR="00565092" w:rsidRPr="00603A54">
        <w:rPr>
          <w:color w:val="000000" w:themeColor="text1"/>
          <w:lang w:eastAsia="en-GB"/>
        </w:rPr>
        <w:t>zero.</w:t>
      </w:r>
    </w:p>
    <w:p w14:paraId="08F9AF4E" w14:textId="248439A9" w:rsidR="00382904" w:rsidRPr="00603A54" w:rsidRDefault="00382904" w:rsidP="00712800">
      <w:pPr>
        <w:pStyle w:val="ListParagraph"/>
        <w:numPr>
          <w:ilvl w:val="1"/>
          <w:numId w:val="7"/>
        </w:numPr>
        <w:ind w:left="1560" w:hanging="426"/>
        <w:contextualSpacing/>
        <w:rPr>
          <w:color w:val="000000" w:themeColor="text1"/>
          <w:lang w:eastAsia="en-GB"/>
        </w:rPr>
      </w:pPr>
      <w:r w:rsidRPr="00603A54">
        <w:rPr>
          <w:color w:val="000000" w:themeColor="text1"/>
          <w:lang w:eastAsia="en-GB"/>
        </w:rPr>
        <w:t xml:space="preserve">All new building by the Council progressing towards near or net-zero carbon </w:t>
      </w:r>
      <w:r w:rsidR="00565092" w:rsidRPr="00603A54">
        <w:rPr>
          <w:color w:val="000000" w:themeColor="text1"/>
          <w:lang w:eastAsia="en-GB"/>
        </w:rPr>
        <w:t>standards.</w:t>
      </w:r>
    </w:p>
    <w:p w14:paraId="6DC70738" w14:textId="48CBC8CE" w:rsidR="00382904" w:rsidRPr="00603A54" w:rsidRDefault="00382904" w:rsidP="00712800">
      <w:pPr>
        <w:pStyle w:val="ListParagraph"/>
        <w:numPr>
          <w:ilvl w:val="1"/>
          <w:numId w:val="7"/>
        </w:numPr>
        <w:ind w:left="1560" w:hanging="426"/>
        <w:contextualSpacing/>
        <w:rPr>
          <w:color w:val="000000" w:themeColor="text1"/>
          <w:lang w:eastAsia="en-GB"/>
        </w:rPr>
      </w:pPr>
      <w:r w:rsidRPr="00603A54">
        <w:rPr>
          <w:color w:val="000000" w:themeColor="text1"/>
          <w:lang w:eastAsia="en-GB"/>
        </w:rPr>
        <w:t xml:space="preserve">The Council’s existing council housing is being made more energy </w:t>
      </w:r>
      <w:r w:rsidR="00565092" w:rsidRPr="00603A54">
        <w:rPr>
          <w:color w:val="000000" w:themeColor="text1"/>
          <w:lang w:eastAsia="en-GB"/>
        </w:rPr>
        <w:t>efficient.</w:t>
      </w:r>
    </w:p>
    <w:p w14:paraId="7973D386" w14:textId="3F4A8517" w:rsidR="00511905" w:rsidRPr="00603A54" w:rsidRDefault="00511905" w:rsidP="00712800">
      <w:pPr>
        <w:pStyle w:val="ListParagraph"/>
        <w:numPr>
          <w:ilvl w:val="0"/>
          <w:numId w:val="7"/>
        </w:numPr>
        <w:contextualSpacing/>
        <w:rPr>
          <w:color w:val="000000" w:themeColor="text1"/>
          <w:lang w:eastAsia="en-GB"/>
        </w:rPr>
      </w:pPr>
      <w:r w:rsidRPr="00603A54">
        <w:rPr>
          <w:color w:val="000000" w:themeColor="text1"/>
          <w:lang w:eastAsia="en-GB"/>
        </w:rPr>
        <w:t xml:space="preserve"> </w:t>
      </w:r>
      <w:r w:rsidR="00565092" w:rsidRPr="00603A54">
        <w:rPr>
          <w:b/>
          <w:color w:val="000000" w:themeColor="text1"/>
          <w:lang w:eastAsia="en-GB"/>
        </w:rPr>
        <w:t>Well</w:t>
      </w:r>
      <w:r w:rsidRPr="00603A54">
        <w:rPr>
          <w:b/>
          <w:color w:val="000000" w:themeColor="text1"/>
          <w:lang w:eastAsia="en-GB"/>
        </w:rPr>
        <w:t xml:space="preserve"> Run Council </w:t>
      </w:r>
      <w:r w:rsidRPr="00603A54">
        <w:rPr>
          <w:color w:val="000000" w:themeColor="text1"/>
          <w:lang w:eastAsia="en-GB"/>
        </w:rPr>
        <w:t xml:space="preserve">key deliverables include </w:t>
      </w:r>
    </w:p>
    <w:p w14:paraId="6FF765F4" w14:textId="49DCFD56" w:rsidR="00511905" w:rsidRPr="00603A54" w:rsidRDefault="00511905" w:rsidP="00712800">
      <w:pPr>
        <w:pStyle w:val="ListParagraph"/>
        <w:numPr>
          <w:ilvl w:val="1"/>
          <w:numId w:val="7"/>
        </w:numPr>
        <w:contextualSpacing/>
        <w:rPr>
          <w:color w:val="000000" w:themeColor="text1"/>
          <w:lang w:eastAsia="en-GB"/>
        </w:rPr>
      </w:pPr>
      <w:r w:rsidRPr="00603A54">
        <w:rPr>
          <w:color w:val="000000" w:themeColor="text1"/>
          <w:lang w:eastAsia="en-GB"/>
        </w:rPr>
        <w:t xml:space="preserve">Deliver modern accessible services for our diverse </w:t>
      </w:r>
      <w:r w:rsidR="00565092" w:rsidRPr="00603A54">
        <w:rPr>
          <w:color w:val="000000" w:themeColor="text1"/>
          <w:lang w:eastAsia="en-GB"/>
        </w:rPr>
        <w:t>communities.</w:t>
      </w:r>
    </w:p>
    <w:p w14:paraId="4B3B9004" w14:textId="516E8958" w:rsidR="00511905" w:rsidRPr="00603A54" w:rsidRDefault="00511905" w:rsidP="00712800">
      <w:pPr>
        <w:pStyle w:val="ListParagraph"/>
        <w:numPr>
          <w:ilvl w:val="1"/>
          <w:numId w:val="7"/>
        </w:numPr>
        <w:contextualSpacing/>
        <w:rPr>
          <w:color w:val="000000" w:themeColor="text1"/>
          <w:lang w:eastAsia="en-GB"/>
        </w:rPr>
      </w:pPr>
      <w:r w:rsidRPr="00603A54">
        <w:rPr>
          <w:color w:val="000000" w:themeColor="text1"/>
          <w:lang w:eastAsia="en-GB"/>
        </w:rPr>
        <w:t xml:space="preserve">Ensure financial resilience so we can continue a wide range of </w:t>
      </w:r>
      <w:r w:rsidR="00565092" w:rsidRPr="00603A54">
        <w:rPr>
          <w:color w:val="000000" w:themeColor="text1"/>
          <w:lang w:eastAsia="en-GB"/>
        </w:rPr>
        <w:t>services.</w:t>
      </w:r>
    </w:p>
    <w:p w14:paraId="0E0E33D4" w14:textId="3DA2731C" w:rsidR="00511905" w:rsidRPr="00603A54" w:rsidRDefault="00511905" w:rsidP="00712800">
      <w:pPr>
        <w:pStyle w:val="ListParagraph"/>
        <w:numPr>
          <w:ilvl w:val="1"/>
          <w:numId w:val="7"/>
        </w:numPr>
        <w:contextualSpacing/>
        <w:rPr>
          <w:color w:val="000000" w:themeColor="text1"/>
          <w:lang w:eastAsia="en-GB"/>
        </w:rPr>
      </w:pPr>
      <w:r w:rsidRPr="00603A54">
        <w:rPr>
          <w:color w:val="000000" w:themeColor="text1"/>
          <w:lang w:eastAsia="en-GB"/>
        </w:rPr>
        <w:t xml:space="preserve">Ensure high levels of </w:t>
      </w:r>
      <w:r w:rsidR="00565092" w:rsidRPr="00603A54">
        <w:rPr>
          <w:color w:val="000000" w:themeColor="text1"/>
          <w:lang w:eastAsia="en-GB"/>
        </w:rPr>
        <w:t>cybersecurity.</w:t>
      </w:r>
      <w:r w:rsidRPr="00603A54">
        <w:rPr>
          <w:color w:val="000000" w:themeColor="text1"/>
          <w:lang w:eastAsia="en-GB"/>
        </w:rPr>
        <w:t xml:space="preserve"> </w:t>
      </w:r>
    </w:p>
    <w:p w14:paraId="076CDEEA" w14:textId="77777777" w:rsidR="00382904" w:rsidRPr="00572DC5" w:rsidRDefault="00382904" w:rsidP="007D5831">
      <w:pPr>
        <w:spacing w:after="120"/>
        <w:ind w:right="386" w:firstLine="24"/>
        <w:rPr>
          <w:highlight w:val="yellow"/>
        </w:rPr>
      </w:pPr>
    </w:p>
    <w:p w14:paraId="1FF6C05C" w14:textId="28F0EBAE" w:rsidR="000B78D2" w:rsidRPr="00603A54" w:rsidRDefault="00382904" w:rsidP="00912BB6">
      <w:pPr>
        <w:pStyle w:val="ListParagraph"/>
        <w:numPr>
          <w:ilvl w:val="0"/>
          <w:numId w:val="47"/>
        </w:numPr>
        <w:spacing w:after="120"/>
        <w:ind w:right="386"/>
      </w:pPr>
      <w:r w:rsidRPr="00603A54">
        <w:t xml:space="preserve">The </w:t>
      </w:r>
      <w:r w:rsidR="004A48D9" w:rsidRPr="00603A54">
        <w:t xml:space="preserve">budget re-set strategy </w:t>
      </w:r>
      <w:r w:rsidRPr="00603A54">
        <w:t>has been undertaken by:</w:t>
      </w:r>
      <w:r w:rsidR="004A48D9" w:rsidRPr="00603A54">
        <w:t xml:space="preserve"> </w:t>
      </w:r>
    </w:p>
    <w:p w14:paraId="687EDE63" w14:textId="6FC4799C" w:rsidR="00CA1F55" w:rsidRDefault="00CA1F55" w:rsidP="00712800">
      <w:pPr>
        <w:pStyle w:val="ListParagraph"/>
        <w:numPr>
          <w:ilvl w:val="0"/>
          <w:numId w:val="9"/>
        </w:numPr>
        <w:spacing w:after="120"/>
        <w:ind w:left="1134" w:right="386" w:hanging="425"/>
      </w:pPr>
      <w:r>
        <w:t xml:space="preserve">Preparing </w:t>
      </w:r>
      <w:r w:rsidR="000F217C">
        <w:t>budget as if OCC is an ongoing entity i.e</w:t>
      </w:r>
      <w:r w:rsidR="00B1497F">
        <w:t>.</w:t>
      </w:r>
      <w:r w:rsidR="000F217C">
        <w:t xml:space="preserve"> </w:t>
      </w:r>
      <w:r w:rsidR="00B1497F">
        <w:t xml:space="preserve">projecting budgets beyond the expected life of OCC assuming </w:t>
      </w:r>
      <w:r w:rsidR="000F217C">
        <w:t>LGR</w:t>
      </w:r>
      <w:r w:rsidR="00B1497F">
        <w:t xml:space="preserve"> goes ahead as planned</w:t>
      </w:r>
    </w:p>
    <w:p w14:paraId="4483158E" w14:textId="04AFC4DB" w:rsidR="000F217C" w:rsidRDefault="000F217C" w:rsidP="00712800">
      <w:pPr>
        <w:pStyle w:val="ListParagraph"/>
        <w:numPr>
          <w:ilvl w:val="0"/>
          <w:numId w:val="9"/>
        </w:numPr>
        <w:spacing w:after="120"/>
        <w:ind w:left="1134" w:right="386" w:hanging="425"/>
      </w:pPr>
      <w:r>
        <w:t xml:space="preserve">Minimal </w:t>
      </w:r>
      <w:r w:rsidR="004F3842">
        <w:t>additional savings on services</w:t>
      </w:r>
    </w:p>
    <w:p w14:paraId="6B0194D1" w14:textId="6F81C5F7" w:rsidR="004F3842" w:rsidRDefault="004F3842" w:rsidP="00712800">
      <w:pPr>
        <w:pStyle w:val="ListParagraph"/>
        <w:numPr>
          <w:ilvl w:val="0"/>
          <w:numId w:val="9"/>
        </w:numPr>
        <w:spacing w:after="120"/>
        <w:ind w:left="1134" w:right="386" w:hanging="425"/>
      </w:pPr>
      <w:r>
        <w:t>Take efficiencies where it is appropriate to do so</w:t>
      </w:r>
    </w:p>
    <w:p w14:paraId="3DC6964B" w14:textId="56DC4583" w:rsidR="004F3842" w:rsidRDefault="00C01AC9" w:rsidP="00712800">
      <w:pPr>
        <w:pStyle w:val="ListParagraph"/>
        <w:numPr>
          <w:ilvl w:val="0"/>
          <w:numId w:val="9"/>
        </w:numPr>
        <w:spacing w:after="120"/>
        <w:ind w:left="1134" w:right="386" w:hanging="425"/>
      </w:pPr>
      <w:r>
        <w:t>Servies to ‘consume their own smoke and limit new expenditure</w:t>
      </w:r>
    </w:p>
    <w:p w14:paraId="16C1361B" w14:textId="0822E632" w:rsidR="00C01AC9" w:rsidRDefault="000B0E37" w:rsidP="00712800">
      <w:pPr>
        <w:pStyle w:val="ListParagraph"/>
        <w:numPr>
          <w:ilvl w:val="0"/>
          <w:numId w:val="9"/>
        </w:numPr>
        <w:spacing w:after="120"/>
        <w:ind w:left="1134" w:right="386" w:hanging="425"/>
      </w:pPr>
      <w:r>
        <w:t>Limit new capital expenditure unless statutory or legal obligation</w:t>
      </w:r>
    </w:p>
    <w:p w14:paraId="583C8A6F" w14:textId="3F0D3B5C" w:rsidR="00D43795" w:rsidRDefault="00D43795" w:rsidP="00712800">
      <w:pPr>
        <w:pStyle w:val="ListParagraph"/>
        <w:numPr>
          <w:ilvl w:val="0"/>
          <w:numId w:val="9"/>
        </w:numPr>
        <w:spacing w:after="120"/>
        <w:ind w:left="1134" w:right="386" w:hanging="425"/>
      </w:pPr>
      <w:r>
        <w:t>Use of reserves – but one off in nature and th</w:t>
      </w:r>
      <w:r w:rsidR="001122F5">
        <w:t>e</w:t>
      </w:r>
      <w:r>
        <w:t>se cannot be exhausted or be</w:t>
      </w:r>
      <w:r w:rsidR="005340A3">
        <w:t xml:space="preserve"> ‘inadequate’ in the eyes of the Section 151 Officer.</w:t>
      </w:r>
    </w:p>
    <w:p w14:paraId="3F3CCCAD" w14:textId="77777777" w:rsidR="00DB6B2A" w:rsidRPr="00603A54" w:rsidRDefault="00DB6B2A" w:rsidP="00924DA6">
      <w:pPr>
        <w:spacing w:after="120"/>
        <w:ind w:right="386" w:firstLine="24"/>
      </w:pPr>
    </w:p>
    <w:p w14:paraId="1A84D7D3" w14:textId="76A7F807" w:rsidR="004A48D9" w:rsidRPr="00603A54" w:rsidRDefault="10AABD46" w:rsidP="00912BB6">
      <w:pPr>
        <w:pStyle w:val="ListParagraph"/>
        <w:numPr>
          <w:ilvl w:val="0"/>
          <w:numId w:val="47"/>
        </w:numPr>
        <w:spacing w:after="120"/>
        <w:ind w:right="386"/>
      </w:pPr>
      <w:r w:rsidRPr="00603A54">
        <w:t>Taking account of this strategy</w:t>
      </w:r>
      <w:r w:rsidR="7E324DCF" w:rsidRPr="00603A54">
        <w:t>,</w:t>
      </w:r>
      <w:r w:rsidRPr="00603A54">
        <w:t xml:space="preserve"> the key assumptions are outlined below.</w:t>
      </w:r>
    </w:p>
    <w:p w14:paraId="20AC5929" w14:textId="467F7720" w:rsidR="1EDB5DC6" w:rsidRPr="00603A54" w:rsidRDefault="1EDB5DC6" w:rsidP="1EDB5DC6">
      <w:pPr>
        <w:spacing w:after="334"/>
        <w:contextualSpacing/>
        <w:rPr>
          <w:b/>
          <w:bCs/>
          <w:sz w:val="28"/>
          <w:szCs w:val="28"/>
        </w:rPr>
      </w:pPr>
    </w:p>
    <w:p w14:paraId="2AEC33E2" w14:textId="77777777" w:rsidR="00C37005" w:rsidRPr="00FC4B1F" w:rsidRDefault="00C37005" w:rsidP="00924DA6">
      <w:pPr>
        <w:autoSpaceDE w:val="0"/>
        <w:autoSpaceDN w:val="0"/>
        <w:spacing w:after="334"/>
        <w:contextualSpacing/>
        <w:rPr>
          <w:b/>
          <w:sz w:val="28"/>
          <w:szCs w:val="28"/>
        </w:rPr>
      </w:pPr>
      <w:r w:rsidRPr="00FC4B1F">
        <w:rPr>
          <w:b/>
          <w:sz w:val="28"/>
          <w:szCs w:val="28"/>
        </w:rPr>
        <w:t>Section B General Fund Revenue Budget</w:t>
      </w:r>
    </w:p>
    <w:p w14:paraId="428F2C82" w14:textId="77777777" w:rsidR="00C37005" w:rsidRPr="00FC4B1F" w:rsidRDefault="00C37005" w:rsidP="00924DA6">
      <w:pPr>
        <w:spacing w:after="120"/>
        <w:ind w:right="386" w:firstLine="24"/>
      </w:pPr>
    </w:p>
    <w:p w14:paraId="178B8FB2" w14:textId="1FDC8560" w:rsidR="006D2EFB" w:rsidRPr="00FC4B1F" w:rsidRDefault="006D2EFB" w:rsidP="001F2BCF">
      <w:pPr>
        <w:pStyle w:val="ListParagraph"/>
        <w:numPr>
          <w:ilvl w:val="0"/>
          <w:numId w:val="47"/>
        </w:numPr>
        <w:spacing w:after="120"/>
        <w:ind w:right="386"/>
      </w:pPr>
      <w:r w:rsidRPr="00FC4B1F">
        <w:t xml:space="preserve">Appendix 1 and appendix 2 give details by service and directorate of the budgets for General Fund Services over the 4 year Medium Term Financial Plan. </w:t>
      </w:r>
      <w:r w:rsidR="00944EF0">
        <w:t>Ot</w:t>
      </w:r>
      <w:r w:rsidRPr="00FC4B1F">
        <w:t xml:space="preserve">her Key General Fund assumptions are discussed in more detail below.  </w:t>
      </w:r>
    </w:p>
    <w:p w14:paraId="09AB550A" w14:textId="77777777" w:rsidR="00731C9C" w:rsidRPr="00FC4B1F" w:rsidRDefault="00731C9C" w:rsidP="00924DA6">
      <w:pPr>
        <w:spacing w:after="120"/>
        <w:ind w:right="386"/>
        <w:rPr>
          <w:b/>
        </w:rPr>
      </w:pPr>
      <w:r w:rsidRPr="00FC4B1F">
        <w:rPr>
          <w:b/>
        </w:rPr>
        <w:t>Key General Fund Assumptions</w:t>
      </w:r>
    </w:p>
    <w:p w14:paraId="302D27DC" w14:textId="77777777" w:rsidR="009E51EC" w:rsidRPr="00363780" w:rsidRDefault="007B6AB3" w:rsidP="00927576">
      <w:pPr>
        <w:spacing w:after="120"/>
        <w:ind w:right="386" w:firstLine="24"/>
      </w:pPr>
      <w:r w:rsidRPr="00363780">
        <w:rPr>
          <w:b/>
        </w:rPr>
        <w:t>Retained</w:t>
      </w:r>
      <w:r w:rsidRPr="00363780">
        <w:t xml:space="preserve"> </w:t>
      </w:r>
      <w:r w:rsidR="00B16E72" w:rsidRPr="00363780">
        <w:rPr>
          <w:b/>
        </w:rPr>
        <w:t>Business Rates</w:t>
      </w:r>
    </w:p>
    <w:p w14:paraId="0592EA60" w14:textId="6157DC71" w:rsidR="007E7FA6" w:rsidRPr="000352A6" w:rsidRDefault="001E172C" w:rsidP="001F2BCF">
      <w:pPr>
        <w:pStyle w:val="ListParagraph"/>
        <w:numPr>
          <w:ilvl w:val="0"/>
          <w:numId w:val="47"/>
        </w:numPr>
        <w:spacing w:after="120"/>
        <w:ind w:right="386"/>
      </w:pPr>
      <w:r w:rsidRPr="00363780">
        <w:t xml:space="preserve">Business rates income collected by Oxford City Council as billing authority is split 50/50 with central government with the </w:t>
      </w:r>
      <w:r w:rsidR="00CA6854" w:rsidRPr="00363780">
        <w:t xml:space="preserve">billing authority’s 50% share </w:t>
      </w:r>
      <w:r w:rsidRPr="00363780">
        <w:t xml:space="preserve">split 80/20 between Oxford City Council and Oxfordshire County Council respectively. </w:t>
      </w:r>
      <w:r w:rsidR="009E51EC" w:rsidRPr="00363780">
        <w:t xml:space="preserve"> </w:t>
      </w:r>
      <w:r w:rsidRPr="00363780">
        <w:t xml:space="preserve">From </w:t>
      </w:r>
      <w:r w:rsidR="007D680C" w:rsidRPr="00363780">
        <w:t>its</w:t>
      </w:r>
      <w:r w:rsidRPr="00363780">
        <w:t xml:space="preserve"> 80% share the Council pays a tariff to central government and retains a baseline amount (set by the Government) together with 50% of the retained income above this baseline. </w:t>
      </w:r>
      <w:r w:rsidR="00357E3B">
        <w:t>This 50% above baseline will be re-set to zero with effect from 1-4-2026</w:t>
      </w:r>
      <w:r w:rsidR="00D31A70">
        <w:t xml:space="preserve"> and the figures below represent our best assumption of </w:t>
      </w:r>
      <w:r w:rsidR="00076928">
        <w:t xml:space="preserve">how much business rates will retain from this date.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268"/>
      </w:tblGrid>
      <w:tr w:rsidR="00096BAD" w:rsidRPr="000352A6" w14:paraId="66AFE219" w14:textId="77777777" w:rsidTr="78AF1851">
        <w:tc>
          <w:tcPr>
            <w:tcW w:w="8364" w:type="dxa"/>
            <w:gridSpan w:val="2"/>
            <w:shd w:val="clear" w:color="auto" w:fill="BFBFBF" w:themeFill="background1" w:themeFillShade="BF"/>
          </w:tcPr>
          <w:p w14:paraId="70361AD2" w14:textId="056954E0" w:rsidR="00096BAD" w:rsidRPr="000352A6" w:rsidRDefault="00096BAD" w:rsidP="00ED2696">
            <w:pPr>
              <w:spacing w:after="120"/>
              <w:ind w:right="386"/>
              <w:rPr>
                <w:b/>
              </w:rPr>
            </w:pPr>
            <w:r w:rsidRPr="000352A6">
              <w:rPr>
                <w:b/>
              </w:rPr>
              <w:t xml:space="preserve">Table </w:t>
            </w:r>
            <w:r w:rsidR="00032E4C">
              <w:rPr>
                <w:b/>
              </w:rPr>
              <w:t>3</w:t>
            </w:r>
            <w:r w:rsidRPr="000352A6">
              <w:rPr>
                <w:b/>
              </w:rPr>
              <w:t xml:space="preserve"> : Retained Business Rates </w:t>
            </w:r>
            <w:r w:rsidR="52AA12F2" w:rsidRPr="000352A6">
              <w:rPr>
                <w:b/>
                <w:bCs/>
              </w:rPr>
              <w:t>20</w:t>
            </w:r>
            <w:r w:rsidR="003C3043" w:rsidRPr="000352A6">
              <w:rPr>
                <w:b/>
                <w:bCs/>
              </w:rPr>
              <w:t>2</w:t>
            </w:r>
            <w:r w:rsidR="00076928" w:rsidRPr="000352A6">
              <w:rPr>
                <w:b/>
                <w:bCs/>
              </w:rPr>
              <w:t>6</w:t>
            </w:r>
            <w:r w:rsidR="52AA12F2" w:rsidRPr="000352A6">
              <w:rPr>
                <w:b/>
                <w:bCs/>
              </w:rPr>
              <w:t>-</w:t>
            </w:r>
            <w:r w:rsidR="00EF163F" w:rsidRPr="000352A6">
              <w:rPr>
                <w:b/>
                <w:bCs/>
              </w:rPr>
              <w:t>2</w:t>
            </w:r>
            <w:r w:rsidR="00076928" w:rsidRPr="000352A6">
              <w:rPr>
                <w:b/>
                <w:bCs/>
              </w:rPr>
              <w:t>7</w:t>
            </w:r>
          </w:p>
        </w:tc>
      </w:tr>
      <w:tr w:rsidR="00096BAD" w:rsidRPr="000352A6" w14:paraId="718C933D" w14:textId="77777777" w:rsidTr="78AF1851">
        <w:tc>
          <w:tcPr>
            <w:tcW w:w="6096" w:type="dxa"/>
            <w:shd w:val="clear" w:color="auto" w:fill="BFBFBF" w:themeFill="background1" w:themeFillShade="BF"/>
          </w:tcPr>
          <w:p w14:paraId="0481C402" w14:textId="77777777" w:rsidR="00096BAD" w:rsidRPr="000352A6" w:rsidRDefault="00096BAD" w:rsidP="00D871CB">
            <w:pPr>
              <w:spacing w:after="120"/>
              <w:ind w:right="386"/>
              <w:jc w:val="both"/>
            </w:pPr>
          </w:p>
        </w:tc>
        <w:tc>
          <w:tcPr>
            <w:tcW w:w="2268" w:type="dxa"/>
            <w:shd w:val="clear" w:color="auto" w:fill="BFBFBF" w:themeFill="background1" w:themeFillShade="BF"/>
          </w:tcPr>
          <w:p w14:paraId="01493BED" w14:textId="77777777" w:rsidR="00096BAD" w:rsidRPr="000352A6" w:rsidRDefault="00096BAD" w:rsidP="00D871CB">
            <w:pPr>
              <w:spacing w:after="120"/>
              <w:jc w:val="right"/>
              <w:rPr>
                <w:b/>
              </w:rPr>
            </w:pPr>
            <w:r w:rsidRPr="000352A6">
              <w:rPr>
                <w:b/>
              </w:rPr>
              <w:t>£million</w:t>
            </w:r>
          </w:p>
        </w:tc>
      </w:tr>
      <w:tr w:rsidR="00096BAD" w:rsidRPr="000352A6" w14:paraId="4E0A2C3E" w14:textId="77777777" w:rsidTr="00A541EB">
        <w:tc>
          <w:tcPr>
            <w:tcW w:w="6096" w:type="dxa"/>
          </w:tcPr>
          <w:p w14:paraId="38F98871" w14:textId="77777777" w:rsidR="00096BAD" w:rsidRPr="000352A6" w:rsidRDefault="00096BAD" w:rsidP="78AF1851">
            <w:pPr>
              <w:spacing w:after="120"/>
              <w:ind w:left="34" w:right="386"/>
            </w:pPr>
            <w:r w:rsidRPr="000352A6">
              <w:t>Estimated Business Rates Income</w:t>
            </w:r>
          </w:p>
        </w:tc>
        <w:tc>
          <w:tcPr>
            <w:tcW w:w="2268" w:type="dxa"/>
          </w:tcPr>
          <w:p w14:paraId="57F4310A" w14:textId="396BECF6" w:rsidR="00096BAD" w:rsidRPr="000352A6" w:rsidRDefault="008F1736" w:rsidP="009E4621">
            <w:pPr>
              <w:spacing w:after="120"/>
              <w:ind w:right="5"/>
              <w:jc w:val="right"/>
            </w:pPr>
            <w:r w:rsidRPr="000352A6">
              <w:t>114</w:t>
            </w:r>
            <w:r w:rsidR="00E655C8" w:rsidRPr="000352A6">
              <w:t>.</w:t>
            </w:r>
            <w:r w:rsidR="001F4EB7" w:rsidRPr="000352A6">
              <w:t>153</w:t>
            </w:r>
          </w:p>
        </w:tc>
      </w:tr>
      <w:tr w:rsidR="00096BAD" w:rsidRPr="000352A6" w14:paraId="2A1DA3BA" w14:textId="77777777" w:rsidTr="00A541EB">
        <w:tc>
          <w:tcPr>
            <w:tcW w:w="6096" w:type="dxa"/>
          </w:tcPr>
          <w:p w14:paraId="775017AB" w14:textId="77777777" w:rsidR="00096BAD" w:rsidRPr="000352A6" w:rsidRDefault="00096BAD" w:rsidP="00D871CB">
            <w:pPr>
              <w:spacing w:after="120"/>
              <w:ind w:right="386"/>
            </w:pPr>
            <w:r w:rsidRPr="000352A6">
              <w:t>Billing Authority Share (50%)</w:t>
            </w:r>
          </w:p>
        </w:tc>
        <w:tc>
          <w:tcPr>
            <w:tcW w:w="2268" w:type="dxa"/>
          </w:tcPr>
          <w:p w14:paraId="56A8F075" w14:textId="290BD31F" w:rsidR="00096BAD" w:rsidRPr="000352A6" w:rsidRDefault="001F4EB7" w:rsidP="009E4621">
            <w:pPr>
              <w:spacing w:after="120"/>
              <w:ind w:right="5"/>
              <w:jc w:val="right"/>
            </w:pPr>
            <w:r w:rsidRPr="000352A6">
              <w:t>57.076</w:t>
            </w:r>
          </w:p>
        </w:tc>
      </w:tr>
      <w:tr w:rsidR="00096BAD" w:rsidRPr="000352A6" w14:paraId="7EC6865B" w14:textId="77777777" w:rsidTr="00A541EB">
        <w:tc>
          <w:tcPr>
            <w:tcW w:w="6096" w:type="dxa"/>
          </w:tcPr>
          <w:p w14:paraId="4E1EEDA3" w14:textId="77777777" w:rsidR="00096BAD" w:rsidRPr="000352A6" w:rsidRDefault="00096BAD" w:rsidP="00D871CB">
            <w:pPr>
              <w:spacing w:after="120"/>
              <w:ind w:right="386"/>
            </w:pPr>
            <w:r w:rsidRPr="000352A6">
              <w:t>Oxford City Share (80%)</w:t>
            </w:r>
            <w:r w:rsidRPr="000352A6">
              <w:tab/>
            </w:r>
          </w:p>
        </w:tc>
        <w:tc>
          <w:tcPr>
            <w:tcW w:w="2268" w:type="dxa"/>
          </w:tcPr>
          <w:p w14:paraId="138F629B" w14:textId="79A2F84A" w:rsidR="00096BAD" w:rsidRPr="000352A6" w:rsidRDefault="001F4EB7" w:rsidP="009E4621">
            <w:pPr>
              <w:spacing w:after="120"/>
              <w:ind w:right="5"/>
              <w:jc w:val="right"/>
            </w:pPr>
            <w:r w:rsidRPr="000352A6">
              <w:t>45.</w:t>
            </w:r>
            <w:r w:rsidR="00486804" w:rsidRPr="000352A6">
              <w:t>661</w:t>
            </w:r>
          </w:p>
        </w:tc>
      </w:tr>
      <w:tr w:rsidR="00096BAD" w:rsidRPr="000352A6" w14:paraId="0226D68C" w14:textId="77777777" w:rsidTr="00A541EB">
        <w:tc>
          <w:tcPr>
            <w:tcW w:w="6096" w:type="dxa"/>
          </w:tcPr>
          <w:p w14:paraId="211D5E27" w14:textId="77777777" w:rsidR="00096BAD" w:rsidRPr="000352A6" w:rsidRDefault="00096BAD" w:rsidP="00D871CB">
            <w:pPr>
              <w:spacing w:after="120"/>
              <w:ind w:right="386"/>
            </w:pPr>
            <w:r w:rsidRPr="000352A6">
              <w:t>Less Tariff paid to Government</w:t>
            </w:r>
          </w:p>
        </w:tc>
        <w:tc>
          <w:tcPr>
            <w:tcW w:w="2268" w:type="dxa"/>
          </w:tcPr>
          <w:p w14:paraId="7EB1B2D7" w14:textId="71A7816D" w:rsidR="00096BAD" w:rsidRPr="000352A6" w:rsidRDefault="00E655C8" w:rsidP="009E4621">
            <w:pPr>
              <w:spacing w:after="120"/>
              <w:ind w:right="5"/>
              <w:jc w:val="right"/>
            </w:pPr>
            <w:r w:rsidRPr="000352A6">
              <w:t>3</w:t>
            </w:r>
            <w:r w:rsidR="0082461A">
              <w:t>0</w:t>
            </w:r>
            <w:r w:rsidRPr="000352A6">
              <w:t>.</w:t>
            </w:r>
            <w:r w:rsidR="0061517D">
              <w:t>467</w:t>
            </w:r>
          </w:p>
        </w:tc>
      </w:tr>
      <w:tr w:rsidR="00096BAD" w:rsidRPr="000352A6" w14:paraId="539A1A18" w14:textId="77777777" w:rsidTr="78AF1851">
        <w:tc>
          <w:tcPr>
            <w:tcW w:w="6096" w:type="dxa"/>
            <w:shd w:val="clear" w:color="auto" w:fill="BFBFBF" w:themeFill="background1" w:themeFillShade="BF"/>
          </w:tcPr>
          <w:p w14:paraId="270176D4" w14:textId="68C3B03A" w:rsidR="00096BAD" w:rsidRPr="000352A6" w:rsidRDefault="00096BAD" w:rsidP="00D871CB">
            <w:pPr>
              <w:spacing w:after="120"/>
              <w:ind w:right="386"/>
              <w:rPr>
                <w:b/>
              </w:rPr>
            </w:pPr>
            <w:r w:rsidRPr="000352A6">
              <w:rPr>
                <w:b/>
              </w:rPr>
              <w:t>Amount remaining after tariff</w:t>
            </w:r>
            <w:r w:rsidR="00A541EB" w:rsidRPr="000352A6">
              <w:rPr>
                <w:b/>
              </w:rPr>
              <w:t xml:space="preserve"> </w:t>
            </w:r>
            <w:r w:rsidR="002E5017" w:rsidRPr="000352A6">
              <w:rPr>
                <w:b/>
              </w:rPr>
              <w:t>(A</w:t>
            </w:r>
          </w:p>
        </w:tc>
        <w:tc>
          <w:tcPr>
            <w:tcW w:w="2268" w:type="dxa"/>
            <w:shd w:val="clear" w:color="auto" w:fill="BFBFBF" w:themeFill="background1" w:themeFillShade="BF"/>
          </w:tcPr>
          <w:p w14:paraId="7E385ECF" w14:textId="3F7E02F8" w:rsidR="00096BAD" w:rsidRPr="000352A6" w:rsidRDefault="005C5D9B" w:rsidP="005D7BE2">
            <w:pPr>
              <w:pStyle w:val="11"/>
              <w:numPr>
                <w:ilvl w:val="0"/>
                <w:numId w:val="0"/>
              </w:numPr>
              <w:ind w:left="720" w:hanging="360"/>
              <w:jc w:val="right"/>
            </w:pPr>
            <w:r>
              <w:t>15.19</w:t>
            </w:r>
            <w:r w:rsidR="00DD13AD">
              <w:t>4</w:t>
            </w:r>
          </w:p>
        </w:tc>
      </w:tr>
      <w:tr w:rsidR="00096BAD" w:rsidRPr="000352A6" w14:paraId="0A212DC7" w14:textId="77777777" w:rsidTr="00A541EB">
        <w:tc>
          <w:tcPr>
            <w:tcW w:w="6096" w:type="dxa"/>
          </w:tcPr>
          <w:p w14:paraId="59E7DDF6" w14:textId="77777777" w:rsidR="00096BAD" w:rsidRPr="000352A6" w:rsidRDefault="00096BAD" w:rsidP="00D871CB">
            <w:pPr>
              <w:spacing w:after="120"/>
              <w:ind w:right="386"/>
            </w:pPr>
            <w:r w:rsidRPr="000352A6">
              <w:t>Baseline Business Rates</w:t>
            </w:r>
            <w:r w:rsidR="00A541EB" w:rsidRPr="000352A6">
              <w:t xml:space="preserve"> </w:t>
            </w:r>
          </w:p>
        </w:tc>
        <w:tc>
          <w:tcPr>
            <w:tcW w:w="2268" w:type="dxa"/>
          </w:tcPr>
          <w:p w14:paraId="2F3B1F01" w14:textId="01A54B62" w:rsidR="00096BAD" w:rsidRPr="000352A6" w:rsidRDefault="005D7BE2" w:rsidP="009E4621">
            <w:pPr>
              <w:spacing w:after="120"/>
              <w:ind w:right="5"/>
              <w:jc w:val="right"/>
            </w:pPr>
            <w:r>
              <w:t>7.687</w:t>
            </w:r>
          </w:p>
        </w:tc>
      </w:tr>
      <w:tr w:rsidR="00096BAD" w:rsidRPr="000352A6" w14:paraId="29EE91A0" w14:textId="77777777" w:rsidTr="00A541EB">
        <w:tc>
          <w:tcPr>
            <w:tcW w:w="6096" w:type="dxa"/>
          </w:tcPr>
          <w:p w14:paraId="35E5D88D" w14:textId="6B12AD3E" w:rsidR="00096BAD" w:rsidRPr="000352A6" w:rsidRDefault="00096BAD" w:rsidP="009E4621">
            <w:pPr>
              <w:spacing w:after="120"/>
              <w:ind w:right="386"/>
            </w:pPr>
            <w:r w:rsidRPr="000352A6">
              <w:t>Income above baseline (</w:t>
            </w:r>
            <w:r w:rsidR="00D871CB" w:rsidRPr="000352A6">
              <w:t>£</w:t>
            </w:r>
            <w:r w:rsidR="00AE09B6">
              <w:t>15</w:t>
            </w:r>
            <w:r w:rsidR="00CC6D7F" w:rsidRPr="000352A6">
              <w:t>.</w:t>
            </w:r>
            <w:r w:rsidR="00AE09B6">
              <w:t>194</w:t>
            </w:r>
            <w:r w:rsidR="00025602" w:rsidRPr="000352A6">
              <w:t xml:space="preserve">- </w:t>
            </w:r>
            <w:r w:rsidR="00AE09B6">
              <w:t>7.687</w:t>
            </w:r>
            <w:r w:rsidRPr="000352A6">
              <w:t>)</w:t>
            </w:r>
          </w:p>
        </w:tc>
        <w:tc>
          <w:tcPr>
            <w:tcW w:w="2268" w:type="dxa"/>
          </w:tcPr>
          <w:p w14:paraId="4DB167F9" w14:textId="44B1B460" w:rsidR="00096BAD" w:rsidRPr="000352A6" w:rsidRDefault="00AA145F" w:rsidP="00453911">
            <w:pPr>
              <w:spacing w:after="120"/>
              <w:ind w:right="5"/>
              <w:jc w:val="right"/>
            </w:pPr>
            <w:r>
              <w:t>7.507</w:t>
            </w:r>
          </w:p>
        </w:tc>
      </w:tr>
      <w:tr w:rsidR="00096BAD" w:rsidRPr="000352A6" w14:paraId="08822C27" w14:textId="77777777" w:rsidTr="00A541EB">
        <w:tc>
          <w:tcPr>
            <w:tcW w:w="6096" w:type="dxa"/>
          </w:tcPr>
          <w:p w14:paraId="40557C9E" w14:textId="77777777" w:rsidR="00096BAD" w:rsidRPr="000352A6" w:rsidRDefault="002E5017" w:rsidP="00D871CB">
            <w:pPr>
              <w:spacing w:after="120"/>
              <w:ind w:right="386"/>
            </w:pPr>
            <w:r w:rsidRPr="000352A6">
              <w:t>Levy -</w:t>
            </w:r>
            <w:r w:rsidR="00096BAD" w:rsidRPr="000352A6">
              <w:t>50% of income above baseline</w:t>
            </w:r>
            <w:r w:rsidR="00A541EB" w:rsidRPr="000352A6">
              <w:t xml:space="preserve"> </w:t>
            </w:r>
            <w:r w:rsidR="00A541EB" w:rsidRPr="000352A6">
              <w:rPr>
                <w:b/>
              </w:rPr>
              <w:t>(B)</w:t>
            </w:r>
          </w:p>
        </w:tc>
        <w:tc>
          <w:tcPr>
            <w:tcW w:w="2268" w:type="dxa"/>
          </w:tcPr>
          <w:p w14:paraId="2A9A9CE8" w14:textId="4C418195" w:rsidR="00096BAD" w:rsidRPr="000352A6" w:rsidRDefault="002E5017" w:rsidP="00453911">
            <w:pPr>
              <w:spacing w:after="120"/>
              <w:ind w:right="5"/>
              <w:jc w:val="right"/>
            </w:pPr>
            <w:r w:rsidRPr="000352A6">
              <w:t>(</w:t>
            </w:r>
            <w:r w:rsidR="00AA145F">
              <w:t>3.753</w:t>
            </w:r>
            <w:r w:rsidRPr="000352A6">
              <w:t>)</w:t>
            </w:r>
          </w:p>
        </w:tc>
      </w:tr>
      <w:tr w:rsidR="00096BAD" w:rsidRPr="000352A6" w14:paraId="4274377E" w14:textId="77777777" w:rsidTr="78AF1851">
        <w:tc>
          <w:tcPr>
            <w:tcW w:w="6096" w:type="dxa"/>
            <w:shd w:val="clear" w:color="auto" w:fill="BFBFBF" w:themeFill="background1" w:themeFillShade="BF"/>
          </w:tcPr>
          <w:p w14:paraId="5E94C768" w14:textId="29CF0A56" w:rsidR="00096BAD" w:rsidRPr="000352A6" w:rsidRDefault="00096BAD" w:rsidP="00D871CB">
            <w:pPr>
              <w:spacing w:after="120"/>
              <w:ind w:right="386"/>
              <w:rPr>
                <w:b/>
              </w:rPr>
            </w:pPr>
            <w:r w:rsidRPr="000352A6">
              <w:rPr>
                <w:b/>
              </w:rPr>
              <w:t>Total retained business rate income</w:t>
            </w:r>
            <w:r w:rsidR="00A541EB" w:rsidRPr="000352A6">
              <w:rPr>
                <w:b/>
              </w:rPr>
              <w:t xml:space="preserve"> (A+B)</w:t>
            </w:r>
          </w:p>
        </w:tc>
        <w:tc>
          <w:tcPr>
            <w:tcW w:w="2268" w:type="dxa"/>
            <w:shd w:val="clear" w:color="auto" w:fill="BFBFBF" w:themeFill="background1" w:themeFillShade="BF"/>
          </w:tcPr>
          <w:p w14:paraId="0CB2CD22" w14:textId="441CDFB5" w:rsidR="00096BAD" w:rsidRPr="000352A6" w:rsidRDefault="00C139D1" w:rsidP="00C139D1">
            <w:pPr>
              <w:tabs>
                <w:tab w:val="center" w:pos="1023"/>
                <w:tab w:val="right" w:pos="2047"/>
              </w:tabs>
              <w:spacing w:after="120"/>
              <w:ind w:right="5"/>
              <w:rPr>
                <w:b/>
              </w:rPr>
            </w:pPr>
            <w:r>
              <w:rPr>
                <w:b/>
              </w:rPr>
              <w:tab/>
            </w:r>
            <w:r>
              <w:rPr>
                <w:b/>
              </w:rPr>
              <w:tab/>
              <w:t>11.44</w:t>
            </w:r>
            <w:r w:rsidR="00B737D7">
              <w:rPr>
                <w:b/>
              </w:rPr>
              <w:t>1</w:t>
            </w:r>
          </w:p>
        </w:tc>
      </w:tr>
    </w:tbl>
    <w:p w14:paraId="7F81A1B4" w14:textId="77777777" w:rsidR="002E3E05" w:rsidRPr="000352A6" w:rsidRDefault="002E3E05" w:rsidP="00D871CB">
      <w:pPr>
        <w:spacing w:after="120"/>
        <w:ind w:left="1440" w:right="386" w:hanging="720"/>
        <w:jc w:val="both"/>
        <w:rPr>
          <w:b/>
        </w:rPr>
      </w:pPr>
    </w:p>
    <w:p w14:paraId="2B257ACA" w14:textId="77777777" w:rsidR="002A0774" w:rsidRPr="000352A6" w:rsidRDefault="00B8025B" w:rsidP="007E7FA6">
      <w:pPr>
        <w:spacing w:after="120"/>
        <w:ind w:left="709" w:right="386"/>
        <w:jc w:val="both"/>
        <w:rPr>
          <w:b/>
        </w:rPr>
      </w:pPr>
      <w:r w:rsidRPr="000352A6">
        <w:rPr>
          <w:b/>
        </w:rPr>
        <w:t>Note</w:t>
      </w:r>
      <w:r w:rsidR="00F01CC2" w:rsidRPr="000352A6">
        <w:rPr>
          <w:b/>
        </w:rPr>
        <w:t>s</w:t>
      </w:r>
      <w:r w:rsidR="007E7FA6" w:rsidRPr="000352A6">
        <w:rPr>
          <w:b/>
        </w:rPr>
        <w:t>:</w:t>
      </w:r>
    </w:p>
    <w:p w14:paraId="57E46FB9" w14:textId="77777777" w:rsidR="002A0774" w:rsidRPr="000352A6" w:rsidRDefault="002A0774" w:rsidP="007E7FA6">
      <w:pPr>
        <w:spacing w:after="120"/>
        <w:ind w:left="709" w:right="386"/>
        <w:jc w:val="both"/>
        <w:rPr>
          <w:b/>
        </w:rPr>
      </w:pPr>
      <w:r w:rsidRPr="000352A6">
        <w:rPr>
          <w:b/>
        </w:rPr>
        <w:t>Baseline</w:t>
      </w:r>
      <w:r w:rsidR="002E3E05" w:rsidRPr="000352A6">
        <w:rPr>
          <w:b/>
        </w:rPr>
        <w:t xml:space="preserve"> Business Rates</w:t>
      </w:r>
      <w:r w:rsidRPr="000352A6">
        <w:rPr>
          <w:b/>
        </w:rPr>
        <w:t xml:space="preserve"> – </w:t>
      </w:r>
      <w:r w:rsidRPr="000352A6">
        <w:t xml:space="preserve">The </w:t>
      </w:r>
      <w:r w:rsidR="003E46E1" w:rsidRPr="000352A6">
        <w:t>G</w:t>
      </w:r>
      <w:r w:rsidRPr="000352A6">
        <w:t>overnment</w:t>
      </w:r>
      <w:r w:rsidR="002E3E05" w:rsidRPr="000352A6">
        <w:t>’</w:t>
      </w:r>
      <w:r w:rsidRPr="000352A6">
        <w:t>s view of a fair starting point of business rates income for the billing authority based on formula grant distribution. Updated by RPI each year</w:t>
      </w:r>
      <w:r w:rsidR="00B8025B" w:rsidRPr="000352A6">
        <w:t>.</w:t>
      </w:r>
      <w:r w:rsidRPr="000352A6">
        <w:t xml:space="preserve"> </w:t>
      </w:r>
    </w:p>
    <w:p w14:paraId="719EEBF6" w14:textId="77777777" w:rsidR="002A0774" w:rsidRPr="001454E3" w:rsidRDefault="002A0774" w:rsidP="007E7FA6">
      <w:pPr>
        <w:spacing w:after="120"/>
        <w:ind w:left="709" w:right="386"/>
        <w:jc w:val="both"/>
        <w:rPr>
          <w:b/>
        </w:rPr>
      </w:pPr>
      <w:r w:rsidRPr="000352A6">
        <w:rPr>
          <w:b/>
        </w:rPr>
        <w:t xml:space="preserve">Tariff – </w:t>
      </w:r>
      <w:r w:rsidR="00672354" w:rsidRPr="000352A6">
        <w:t>The amount paid to the G</w:t>
      </w:r>
      <w:r w:rsidRPr="000352A6">
        <w:t xml:space="preserve">overnment each year by the </w:t>
      </w:r>
      <w:r w:rsidR="00A255DE" w:rsidRPr="000352A6">
        <w:t xml:space="preserve">Council as </w:t>
      </w:r>
      <w:r w:rsidRPr="000352A6">
        <w:t xml:space="preserve">billing </w:t>
      </w:r>
      <w:r w:rsidRPr="001454E3">
        <w:t xml:space="preserve">authority. Updated by </w:t>
      </w:r>
      <w:r w:rsidR="003E46E1" w:rsidRPr="001454E3">
        <w:t>the retail prices index (</w:t>
      </w:r>
      <w:r w:rsidRPr="001454E3">
        <w:t>RPI</w:t>
      </w:r>
      <w:r w:rsidR="003E46E1" w:rsidRPr="001454E3">
        <w:t>)</w:t>
      </w:r>
      <w:r w:rsidRPr="001454E3">
        <w:t xml:space="preserve"> each year.</w:t>
      </w:r>
    </w:p>
    <w:p w14:paraId="3E942CD9" w14:textId="77777777" w:rsidR="00E547AA" w:rsidRPr="001454E3" w:rsidRDefault="00E547AA" w:rsidP="002D0973">
      <w:pPr>
        <w:tabs>
          <w:tab w:val="left" w:pos="540"/>
        </w:tabs>
        <w:spacing w:after="120"/>
        <w:ind w:right="386"/>
        <w:rPr>
          <w:b/>
        </w:rPr>
      </w:pPr>
      <w:r w:rsidRPr="001454E3">
        <w:rPr>
          <w:b/>
        </w:rPr>
        <w:t xml:space="preserve">Oxfordshire </w:t>
      </w:r>
      <w:r w:rsidR="00EC0302" w:rsidRPr="001454E3">
        <w:rPr>
          <w:b/>
        </w:rPr>
        <w:t xml:space="preserve">Business Rates </w:t>
      </w:r>
      <w:r w:rsidRPr="001454E3">
        <w:rPr>
          <w:b/>
        </w:rPr>
        <w:t>Pool Arrangements</w:t>
      </w:r>
    </w:p>
    <w:p w14:paraId="5589476A" w14:textId="3C9887B9" w:rsidR="00F8383D" w:rsidRPr="001454E3" w:rsidRDefault="000C2E11" w:rsidP="004610B2">
      <w:pPr>
        <w:pStyle w:val="ReportNumbering"/>
      </w:pPr>
      <w:r w:rsidRPr="001454E3">
        <w:t>For 202</w:t>
      </w:r>
      <w:r w:rsidR="007D2CFD" w:rsidRPr="001454E3">
        <w:t>6</w:t>
      </w:r>
      <w:r w:rsidRPr="001454E3">
        <w:t>-2</w:t>
      </w:r>
      <w:r w:rsidR="007D2CFD" w:rsidRPr="001454E3">
        <w:t>7</w:t>
      </w:r>
      <w:r w:rsidRPr="001454E3">
        <w:t xml:space="preserve"> </w:t>
      </w:r>
      <w:r w:rsidR="00ED7721" w:rsidRPr="001454E3">
        <w:t xml:space="preserve">the </w:t>
      </w:r>
      <w:r w:rsidR="006C1819" w:rsidRPr="001454E3">
        <w:t>W</w:t>
      </w:r>
      <w:r w:rsidR="00ED7721" w:rsidRPr="001454E3">
        <w:t xml:space="preserve">est Oxfordshire Business Rates Pool </w:t>
      </w:r>
      <w:r w:rsidR="00CE0C1F" w:rsidRPr="001454E3">
        <w:t xml:space="preserve">consisting of Oxfordshire County Council (OCC), Cherwell District Council (CDC) and West Oxfordshire District Council (WODC) </w:t>
      </w:r>
      <w:r w:rsidR="004669DF" w:rsidRPr="001454E3">
        <w:t xml:space="preserve">is planned to be formed. </w:t>
      </w:r>
      <w:r w:rsidR="00C8579F" w:rsidRPr="001454E3">
        <w:t>Notification to form the pool i</w:t>
      </w:r>
      <w:r w:rsidR="00147BA0" w:rsidRPr="001454E3">
        <w:t xml:space="preserve">s required to be </w:t>
      </w:r>
      <w:r w:rsidR="00147BA0" w:rsidRPr="001454E3">
        <w:lastRenderedPageBreak/>
        <w:t xml:space="preserve">made to Government </w:t>
      </w:r>
      <w:r w:rsidR="00CD51F8" w:rsidRPr="001454E3">
        <w:t xml:space="preserve">on or </w:t>
      </w:r>
      <w:r w:rsidR="00147BA0" w:rsidRPr="001454E3">
        <w:t xml:space="preserve">before </w:t>
      </w:r>
      <w:r w:rsidR="00CD51F8" w:rsidRPr="001454E3">
        <w:t>in advance of the 25</w:t>
      </w:r>
      <w:r w:rsidR="00CD51F8" w:rsidRPr="001454E3">
        <w:rPr>
          <w:vertAlign w:val="superscript"/>
        </w:rPr>
        <w:t>th</w:t>
      </w:r>
      <w:r w:rsidR="00CD51F8" w:rsidRPr="001454E3">
        <w:t xml:space="preserve"> November. This does not </w:t>
      </w:r>
      <w:r w:rsidR="00090D70" w:rsidRPr="001454E3">
        <w:t xml:space="preserve">preclude authorities expressing their intention to form a pool to pull out </w:t>
      </w:r>
      <w:r w:rsidR="005B39BF" w:rsidRPr="001454E3">
        <w:t xml:space="preserve">if it is not </w:t>
      </w:r>
      <w:r w:rsidR="00FE643B" w:rsidRPr="001454E3">
        <w:t xml:space="preserve">financially </w:t>
      </w:r>
      <w:r w:rsidR="005B39BF" w:rsidRPr="001454E3">
        <w:t xml:space="preserve">advantageous to do so </w:t>
      </w:r>
      <w:r w:rsidR="00FE643B" w:rsidRPr="001454E3">
        <w:t>which will only be know</w:t>
      </w:r>
      <w:r w:rsidR="00B105CD" w:rsidRPr="001454E3">
        <w:t>n</w:t>
      </w:r>
      <w:r w:rsidR="00FE643B" w:rsidRPr="001454E3">
        <w:t xml:space="preserve"> in December.  </w:t>
      </w:r>
      <w:r w:rsidR="00CE0C1F" w:rsidRPr="001454E3">
        <w:t xml:space="preserve"> </w:t>
      </w:r>
    </w:p>
    <w:p w14:paraId="0E858B65" w14:textId="69257BC8" w:rsidR="00CE0C1F" w:rsidRDefault="00F626A2" w:rsidP="00912BB6">
      <w:pPr>
        <w:pStyle w:val="ReportNumbering"/>
      </w:pPr>
      <w:r w:rsidRPr="001454E3">
        <w:t>Oxfo</w:t>
      </w:r>
      <w:r w:rsidR="00765072" w:rsidRPr="001454E3">
        <w:t>rd</w:t>
      </w:r>
      <w:r w:rsidRPr="001454E3">
        <w:t xml:space="preserve"> </w:t>
      </w:r>
      <w:r w:rsidR="00765072" w:rsidRPr="001454E3">
        <w:t xml:space="preserve">City </w:t>
      </w:r>
      <w:r w:rsidRPr="001454E3">
        <w:t xml:space="preserve">Council is not part of the current Business Rates Pool as </w:t>
      </w:r>
      <w:r w:rsidR="00111061" w:rsidRPr="001454E3">
        <w:t>the Council’s</w:t>
      </w:r>
      <w:r w:rsidR="00F8383D" w:rsidRPr="001454E3">
        <w:t xml:space="preserve"> inclusion </w:t>
      </w:r>
      <w:r w:rsidR="00414A16" w:rsidRPr="001454E3">
        <w:t xml:space="preserve">has not to date </w:t>
      </w:r>
      <w:r w:rsidR="00F8383D" w:rsidRPr="001454E3">
        <w:t>optimise</w:t>
      </w:r>
      <w:r w:rsidR="00414A16" w:rsidRPr="001454E3">
        <w:t>d</w:t>
      </w:r>
      <w:r w:rsidR="00F8383D" w:rsidRPr="001454E3">
        <w:t xml:space="preserve"> the financial return to Pool members given the interaction of levy payments to Government. In order that the Council itself is not financially disadvantaged it is part of a </w:t>
      </w:r>
      <w:r w:rsidR="00CE0C1F" w:rsidRPr="001454E3">
        <w:t>Business Rates Distribution Group</w:t>
      </w:r>
      <w:r w:rsidR="00111061" w:rsidRPr="001454E3">
        <w:t xml:space="preserve"> (the Group)</w:t>
      </w:r>
      <w:r w:rsidR="00F8383D" w:rsidRPr="001454E3">
        <w:t xml:space="preserve"> with South Oxfordshire District Council </w:t>
      </w:r>
      <w:r w:rsidR="000D6A8C" w:rsidRPr="001454E3">
        <w:t xml:space="preserve">and Vale of White Horse Council’s, </w:t>
      </w:r>
      <w:r w:rsidR="00F8383D" w:rsidRPr="001454E3">
        <w:t>which receives a distribution of growth achieved from the Pool</w:t>
      </w:r>
      <w:r w:rsidR="006C1819" w:rsidRPr="001454E3">
        <w:t xml:space="preserve"> in exchange for taking some of the risk for business rates losses. This risk is deemed acceptable by the Council</w:t>
      </w:r>
      <w:r w:rsidR="00672354" w:rsidRPr="001454E3">
        <w:t>’</w:t>
      </w:r>
      <w:r w:rsidR="006C1819" w:rsidRPr="001454E3">
        <w:t xml:space="preserve">s Chief Financial Officer given the potential </w:t>
      </w:r>
      <w:r w:rsidR="76C29800" w:rsidRPr="001454E3">
        <w:t>one-off</w:t>
      </w:r>
      <w:r w:rsidR="006C1819" w:rsidRPr="001454E3">
        <w:t xml:space="preserve"> return to the Council.</w:t>
      </w:r>
      <w:r w:rsidR="00F8383D" w:rsidRPr="001454E3">
        <w:t xml:space="preserve"> </w:t>
      </w:r>
      <w:r w:rsidR="00C54701" w:rsidRPr="001454E3">
        <w:t xml:space="preserve">In the past the Council have earned around £1 million of income form the Distribution Group although with the </w:t>
      </w:r>
      <w:r w:rsidR="004D01EF" w:rsidRPr="001454E3">
        <w:t>business rates reset taking place from 1</w:t>
      </w:r>
      <w:r w:rsidR="004D01EF" w:rsidRPr="001454E3">
        <w:rPr>
          <w:vertAlign w:val="superscript"/>
        </w:rPr>
        <w:t>st</w:t>
      </w:r>
      <w:r w:rsidR="004D01EF" w:rsidRPr="001454E3">
        <w:t xml:space="preserve"> April 2026 it is unlikely that this will be the case in 2026-27.</w:t>
      </w:r>
      <w:r w:rsidR="008640AE" w:rsidRPr="001454E3">
        <w:t xml:space="preserve"> Depending on the outcome of the changes in respect of business rates reset the Council will </w:t>
      </w:r>
      <w:r w:rsidR="00414A16" w:rsidRPr="001454E3">
        <w:t>join the Business Rates Distribution Group if it is financially advantageous to do so.</w:t>
      </w:r>
      <w:r w:rsidR="00A43D2A" w:rsidRPr="001454E3">
        <w:t xml:space="preserve"> </w:t>
      </w:r>
    </w:p>
    <w:p w14:paraId="024993AB" w14:textId="7078BC2B" w:rsidR="00F84059" w:rsidRPr="00850689" w:rsidRDefault="006A04D7" w:rsidP="006A04D7">
      <w:pPr>
        <w:pStyle w:val="ReportNumbering"/>
        <w:numPr>
          <w:ilvl w:val="0"/>
          <w:numId w:val="0"/>
        </w:numPr>
        <w:rPr>
          <w:b/>
          <w:bCs/>
        </w:rPr>
      </w:pPr>
      <w:r w:rsidRPr="00850689">
        <w:rPr>
          <w:b/>
          <w:bCs/>
        </w:rPr>
        <w:t>Modernization and Improving the Administration of Council Tax</w:t>
      </w:r>
    </w:p>
    <w:p w14:paraId="5F32D92B" w14:textId="7F2ECFE4" w:rsidR="00F84059" w:rsidRPr="00850689" w:rsidRDefault="006A04D7" w:rsidP="00E801E2">
      <w:pPr>
        <w:pStyle w:val="ReportNumbering"/>
        <w:ind w:hanging="644"/>
      </w:pPr>
      <w:r w:rsidRPr="00850689">
        <w:t>On 20</w:t>
      </w:r>
      <w:r w:rsidRPr="00850689">
        <w:rPr>
          <w:vertAlign w:val="superscript"/>
        </w:rPr>
        <w:t>th</w:t>
      </w:r>
      <w:r w:rsidRPr="00850689">
        <w:t xml:space="preserve"> June </w:t>
      </w:r>
      <w:r w:rsidR="00C050E6" w:rsidRPr="00850689">
        <w:t>t</w:t>
      </w:r>
      <w:r w:rsidRPr="00850689">
        <w:t>he Government issued a consultation on the above</w:t>
      </w:r>
      <w:r w:rsidR="00107110" w:rsidRPr="00850689">
        <w:t xml:space="preserve">. The consultation closed on 12 September 2025. </w:t>
      </w:r>
    </w:p>
    <w:p w14:paraId="555D1F24" w14:textId="3E697E7E" w:rsidR="00107110" w:rsidRPr="00850689" w:rsidRDefault="00107110" w:rsidP="00E801E2">
      <w:pPr>
        <w:pStyle w:val="ReportNumbering"/>
        <w:ind w:hanging="644"/>
      </w:pPr>
      <w:r w:rsidRPr="00850689">
        <w:t xml:space="preserve">The consultation sought views on </w:t>
      </w:r>
    </w:p>
    <w:p w14:paraId="0CF73BDD" w14:textId="3B9863A0" w:rsidR="00107110" w:rsidRPr="00850689" w:rsidRDefault="00850689" w:rsidP="00712800">
      <w:pPr>
        <w:pStyle w:val="ReportNumbering"/>
        <w:numPr>
          <w:ilvl w:val="0"/>
          <w:numId w:val="33"/>
        </w:numPr>
      </w:pPr>
      <w:r w:rsidRPr="00850689">
        <w:t>Changing</w:t>
      </w:r>
      <w:r w:rsidR="00107110" w:rsidRPr="00850689">
        <w:t xml:space="preserve"> the ways council tax is billed, collected and enforced</w:t>
      </w:r>
    </w:p>
    <w:p w14:paraId="33B8C21A" w14:textId="6BC41F7F" w:rsidR="00107110" w:rsidRPr="00850689" w:rsidRDefault="00107110" w:rsidP="00712800">
      <w:pPr>
        <w:pStyle w:val="ReportNumbering"/>
        <w:numPr>
          <w:ilvl w:val="0"/>
          <w:numId w:val="33"/>
        </w:numPr>
      </w:pPr>
      <w:r w:rsidRPr="00850689">
        <w:t>Modernising the support available in the system</w:t>
      </w:r>
    </w:p>
    <w:p w14:paraId="2BCB0A3D" w14:textId="764293FD" w:rsidR="00F84059" w:rsidRPr="00601AEF" w:rsidRDefault="00515901" w:rsidP="00712800">
      <w:pPr>
        <w:pStyle w:val="ReportNumbering"/>
        <w:numPr>
          <w:ilvl w:val="0"/>
          <w:numId w:val="33"/>
        </w:numPr>
      </w:pPr>
      <w:r w:rsidRPr="00601AEF">
        <w:t>Supporting councils to improve efficiency</w:t>
      </w:r>
    </w:p>
    <w:p w14:paraId="34DFC7E9" w14:textId="7984C4AB" w:rsidR="00EE076D" w:rsidRPr="00850689" w:rsidRDefault="00851939" w:rsidP="00EE076D">
      <w:pPr>
        <w:pStyle w:val="ReportNumbering"/>
        <w:numPr>
          <w:ilvl w:val="0"/>
          <w:numId w:val="0"/>
        </w:numPr>
        <w:ind w:left="360" w:hanging="644"/>
        <w:rPr>
          <w:rStyle w:val="ilfuvd"/>
        </w:rPr>
      </w:pPr>
      <w:r>
        <w:t>37</w:t>
      </w:r>
      <w:r w:rsidR="00EE076D" w:rsidRPr="00601AEF">
        <w:tab/>
      </w:r>
      <w:r w:rsidR="00381302" w:rsidRPr="00601AEF">
        <w:t xml:space="preserve">One of the key </w:t>
      </w:r>
      <w:r w:rsidR="007720E1" w:rsidRPr="00601AEF">
        <w:t xml:space="preserve">lines of </w:t>
      </w:r>
      <w:r w:rsidR="00396FA7" w:rsidRPr="00601AEF">
        <w:t>consultation is changing the council tax billing from 10 months to 12 months by default. Curr</w:t>
      </w:r>
      <w:r w:rsidR="00F345BD" w:rsidRPr="00601AEF">
        <w:t xml:space="preserve">ently the default is </w:t>
      </w:r>
      <w:r w:rsidR="00242B66" w:rsidRPr="00601AEF">
        <w:t>for tax</w:t>
      </w:r>
      <w:r w:rsidR="00850689" w:rsidRPr="00601AEF">
        <w:t>p</w:t>
      </w:r>
      <w:r w:rsidR="00242B66" w:rsidRPr="00601AEF">
        <w:t>ayers to</w:t>
      </w:r>
      <w:r w:rsidR="00850689" w:rsidRPr="00601AEF">
        <w:t xml:space="preserve"> </w:t>
      </w:r>
      <w:r w:rsidR="00242B66" w:rsidRPr="00601AEF">
        <w:t xml:space="preserve">pay over 10 months April to January although taxpayers have the right </w:t>
      </w:r>
      <w:r w:rsidR="009A24B0" w:rsidRPr="00601AEF">
        <w:t xml:space="preserve">to request to pay their council tax bills over 12 </w:t>
      </w:r>
      <w:r w:rsidR="00850689" w:rsidRPr="00601AEF">
        <w:t>months</w:t>
      </w:r>
      <w:r w:rsidR="009A24B0" w:rsidRPr="00601AEF">
        <w:t xml:space="preserve">. </w:t>
      </w:r>
      <w:r w:rsidR="00093B24" w:rsidRPr="00601AEF">
        <w:t xml:space="preserve">Many of our customers who pay by direct debit are already paying over 12 </w:t>
      </w:r>
      <w:r w:rsidR="00601AEF" w:rsidRPr="00601AEF">
        <w:t>instalments</w:t>
      </w:r>
      <w:r w:rsidR="00093B24" w:rsidRPr="00601AEF">
        <w:t xml:space="preserve"> and therefore </w:t>
      </w:r>
      <w:r w:rsidR="0073762D" w:rsidRPr="00601AEF">
        <w:t xml:space="preserve">the cost to the authority </w:t>
      </w:r>
      <w:r w:rsidR="00601AEF" w:rsidRPr="00601AEF">
        <w:t xml:space="preserve">is not anticipated to </w:t>
      </w:r>
      <w:r w:rsidR="005C08CA" w:rsidRPr="00601AEF">
        <w:t>be large</w:t>
      </w:r>
      <w:r w:rsidR="00601AEF" w:rsidRPr="00601AEF">
        <w:t xml:space="preserve">. </w:t>
      </w:r>
    </w:p>
    <w:p w14:paraId="1E0C875F" w14:textId="77777777" w:rsidR="00F84059" w:rsidRDefault="00F84059" w:rsidP="00F84059">
      <w:pPr>
        <w:pStyle w:val="ListParagraph"/>
        <w:tabs>
          <w:tab w:val="left" w:pos="540"/>
        </w:tabs>
        <w:spacing w:after="120"/>
        <w:ind w:left="928" w:right="386" w:hanging="928"/>
        <w:rPr>
          <w:b/>
        </w:rPr>
      </w:pPr>
      <w:r w:rsidRPr="00EC3A4D">
        <w:rPr>
          <w:b/>
        </w:rPr>
        <w:t>New Homes Bonus (NHB)</w:t>
      </w:r>
    </w:p>
    <w:p w14:paraId="492B5873" w14:textId="4FE8A9E8" w:rsidR="00EC3A4D" w:rsidRPr="00851939" w:rsidRDefault="7AAF9E0A" w:rsidP="0051310C">
      <w:pPr>
        <w:pStyle w:val="ReportNumbering"/>
        <w:numPr>
          <w:ilvl w:val="0"/>
          <w:numId w:val="48"/>
        </w:numPr>
        <w:tabs>
          <w:tab w:val="clear" w:pos="360"/>
          <w:tab w:val="num" w:pos="426"/>
        </w:tabs>
        <w:ind w:hanging="644"/>
        <w:rPr>
          <w:rStyle w:val="ilfuvd"/>
          <w:rFonts w:cs="Arial"/>
          <w:b/>
          <w:lang w:val="en"/>
        </w:rPr>
      </w:pPr>
      <w:r w:rsidRPr="00851939">
        <w:rPr>
          <w:rStyle w:val="ilfuvd"/>
          <w:rFonts w:cs="Arial"/>
          <w:color w:val="222222"/>
        </w:rPr>
        <w:t xml:space="preserve">There </w:t>
      </w:r>
      <w:r w:rsidR="000352A6" w:rsidRPr="00851939">
        <w:rPr>
          <w:rStyle w:val="ilfuvd"/>
          <w:rFonts w:cs="Arial"/>
          <w:color w:val="222222"/>
        </w:rPr>
        <w:t xml:space="preserve">will be no New Homes Bonus </w:t>
      </w:r>
      <w:r w:rsidR="003E14F2" w:rsidRPr="00851939">
        <w:rPr>
          <w:rStyle w:val="ilfuvd"/>
          <w:rFonts w:cs="Arial"/>
          <w:color w:val="222222"/>
        </w:rPr>
        <w:t xml:space="preserve">from 1-4-2026 onwards. In 2025-26 the council received </w:t>
      </w:r>
      <w:r w:rsidR="00EC3A4D" w:rsidRPr="00851939">
        <w:rPr>
          <w:rStyle w:val="ilfuvd"/>
          <w:rFonts w:cs="Arial"/>
          <w:color w:val="222222"/>
        </w:rPr>
        <w:t>approximately</w:t>
      </w:r>
      <w:r w:rsidR="004566D2" w:rsidRPr="00851939">
        <w:rPr>
          <w:rStyle w:val="ilfuvd"/>
          <w:rFonts w:cs="Arial"/>
          <w:color w:val="222222"/>
        </w:rPr>
        <w:t xml:space="preserve"> £31k</w:t>
      </w:r>
      <w:r w:rsidR="00A70051" w:rsidRPr="00851939">
        <w:rPr>
          <w:rStyle w:val="ilfuvd"/>
          <w:rFonts w:cs="Arial"/>
          <w:color w:val="222222"/>
        </w:rPr>
        <w:t>.</w:t>
      </w:r>
    </w:p>
    <w:p w14:paraId="49BF2EFB" w14:textId="0B2C9A62" w:rsidR="00382904" w:rsidRPr="009E3E65" w:rsidRDefault="00350FB5" w:rsidP="00EC3A4D">
      <w:pPr>
        <w:pStyle w:val="ReportNumbering"/>
        <w:numPr>
          <w:ilvl w:val="0"/>
          <w:numId w:val="0"/>
        </w:numPr>
        <w:ind w:left="-284"/>
        <w:rPr>
          <w:rFonts w:cs="Arial"/>
          <w:b/>
          <w:lang w:val="en"/>
        </w:rPr>
      </w:pPr>
      <w:r w:rsidRPr="009E3E65">
        <w:rPr>
          <w:rFonts w:cs="Arial"/>
          <w:b/>
          <w:lang w:val="en"/>
        </w:rPr>
        <w:t>C</w:t>
      </w:r>
      <w:r w:rsidR="00382904" w:rsidRPr="009E3E65">
        <w:rPr>
          <w:rFonts w:cs="Arial"/>
          <w:b/>
          <w:lang w:val="en"/>
        </w:rPr>
        <w:t xml:space="preserve">orporate Planning </w:t>
      </w:r>
      <w:r w:rsidR="00C37005" w:rsidRPr="009E3E65">
        <w:rPr>
          <w:rFonts w:cs="Arial"/>
          <w:b/>
          <w:lang w:val="en"/>
        </w:rPr>
        <w:t>Assumptions</w:t>
      </w:r>
    </w:p>
    <w:p w14:paraId="77F70A5B" w14:textId="3CBA77C4" w:rsidR="008F1B3C" w:rsidRPr="009E3E65" w:rsidRDefault="00382904" w:rsidP="00522855">
      <w:pPr>
        <w:pStyle w:val="ReportNumbering"/>
        <w:ind w:hanging="644"/>
        <w:rPr>
          <w:rFonts w:cs="Arial"/>
          <w:color w:val="000000"/>
        </w:rPr>
      </w:pPr>
      <w:r w:rsidRPr="009E3E65">
        <w:rPr>
          <w:b/>
        </w:rPr>
        <w:t>Council Tax Increase</w:t>
      </w:r>
      <w:r w:rsidRPr="009E3E65">
        <w:t xml:space="preserve"> – </w:t>
      </w:r>
      <w:r w:rsidR="13E8668B" w:rsidRPr="009E3E65">
        <w:t>For the past two years the</w:t>
      </w:r>
      <w:r w:rsidR="00456A16" w:rsidRPr="009E3E65">
        <w:t xml:space="preserve"> </w:t>
      </w:r>
      <w:r w:rsidR="00565092" w:rsidRPr="009E3E65">
        <w:t xml:space="preserve">maximum </w:t>
      </w:r>
      <w:r w:rsidR="00792100" w:rsidRPr="009E3E65">
        <w:t xml:space="preserve">Council Tax increase without a referendum </w:t>
      </w:r>
      <w:r w:rsidR="204E33A4" w:rsidRPr="009E3E65">
        <w:t>has been</w:t>
      </w:r>
      <w:r w:rsidR="00520914" w:rsidRPr="009E3E65">
        <w:t xml:space="preserve"> </w:t>
      </w:r>
      <w:r w:rsidR="00565092" w:rsidRPr="009E3E65">
        <w:t>2.99</w:t>
      </w:r>
      <w:r w:rsidR="00456A16" w:rsidRPr="009E3E65">
        <w:t>% or £5</w:t>
      </w:r>
      <w:r w:rsidR="00792100" w:rsidRPr="009E3E65">
        <w:t>,</w:t>
      </w:r>
      <w:r w:rsidR="00456A16" w:rsidRPr="009E3E65">
        <w:t xml:space="preserve"> whichever is the higher</w:t>
      </w:r>
      <w:r w:rsidR="00792100" w:rsidRPr="009E3E65">
        <w:t>,</w:t>
      </w:r>
      <w:r w:rsidR="00456A16" w:rsidRPr="009E3E65">
        <w:t xml:space="preserve"> for </w:t>
      </w:r>
      <w:r w:rsidR="009A7C37" w:rsidRPr="009E3E65">
        <w:t>District Councils</w:t>
      </w:r>
      <w:r w:rsidR="6A357912" w:rsidRPr="009E3E65">
        <w:t xml:space="preserve">. </w:t>
      </w:r>
      <w:r w:rsidR="003E3130" w:rsidRPr="009E3E65">
        <w:t>Subject to confirmation in the Finance Settlement t</w:t>
      </w:r>
      <w:r w:rsidR="6A357912" w:rsidRPr="009E3E65">
        <w:t>h</w:t>
      </w:r>
      <w:r w:rsidR="00647D40" w:rsidRPr="009E3E65">
        <w:t xml:space="preserve">is </w:t>
      </w:r>
      <w:r w:rsidR="003E3130" w:rsidRPr="009E3E65">
        <w:t>level is assumed to continue through the duration of the MTFP</w:t>
      </w:r>
      <w:r w:rsidR="27380076" w:rsidRPr="009E3E65">
        <w:t xml:space="preserve">. </w:t>
      </w:r>
      <w:r w:rsidR="00274328" w:rsidRPr="009E3E65">
        <w:t>Each 1% increase represents around £1</w:t>
      </w:r>
      <w:r w:rsidR="00D87CCE" w:rsidRPr="009E3E65">
        <w:t>71</w:t>
      </w:r>
      <w:r w:rsidR="00274328" w:rsidRPr="009E3E65">
        <w:t>k o</w:t>
      </w:r>
      <w:r w:rsidR="00565092" w:rsidRPr="009E3E65">
        <w:t xml:space="preserve">f additional </w:t>
      </w:r>
      <w:r w:rsidR="00274328" w:rsidRPr="009E3E65">
        <w:t>annual income</w:t>
      </w:r>
      <w:r w:rsidR="008F1B3C" w:rsidRPr="009E3E65">
        <w:t>.</w:t>
      </w:r>
    </w:p>
    <w:p w14:paraId="467A3557" w14:textId="4153A566" w:rsidR="00382904" w:rsidRPr="000A4BE4" w:rsidRDefault="008F1B3C" w:rsidP="00E801E2">
      <w:pPr>
        <w:pStyle w:val="ReportNumbering"/>
        <w:rPr>
          <w:rFonts w:cs="Arial"/>
          <w:color w:val="000000"/>
        </w:rPr>
      </w:pPr>
      <w:r w:rsidRPr="009E3E65">
        <w:rPr>
          <w:b/>
        </w:rPr>
        <w:t xml:space="preserve">Tax Base </w:t>
      </w:r>
      <w:r w:rsidR="3781D436" w:rsidRPr="009E3E65">
        <w:rPr>
          <w:b/>
        </w:rPr>
        <w:t xml:space="preserve">– </w:t>
      </w:r>
      <w:r w:rsidR="3781D436" w:rsidRPr="009E3E65">
        <w:t>The tax base is esti</w:t>
      </w:r>
      <w:r w:rsidR="02A8C1E7" w:rsidRPr="009E3E65">
        <w:t>m</w:t>
      </w:r>
      <w:r w:rsidR="3781D436" w:rsidRPr="009E3E65">
        <w:t>ated at</w:t>
      </w:r>
      <w:r w:rsidRPr="009E3E65">
        <w:t xml:space="preserve"> </w:t>
      </w:r>
      <w:r w:rsidR="29E77C02" w:rsidRPr="009E3E65">
        <w:t>4</w:t>
      </w:r>
      <w:r w:rsidR="009E3E65" w:rsidRPr="009E3E65">
        <w:t>9</w:t>
      </w:r>
      <w:r w:rsidR="29E77C02" w:rsidRPr="009E3E65">
        <w:t>,</w:t>
      </w:r>
      <w:r w:rsidR="009E3E65" w:rsidRPr="009E3E65">
        <w:t>096</w:t>
      </w:r>
      <w:r w:rsidR="29E77C02" w:rsidRPr="009E3E65">
        <w:t xml:space="preserve"> although this </w:t>
      </w:r>
      <w:r w:rsidR="005E5699">
        <w:t>may</w:t>
      </w:r>
      <w:r w:rsidR="29E77C02" w:rsidRPr="009E3E65">
        <w:t xml:space="preserve"> be subject to </w:t>
      </w:r>
      <w:r w:rsidR="2A92C635" w:rsidRPr="000A4BE4">
        <w:t>change</w:t>
      </w:r>
      <w:r w:rsidR="29E77C02" w:rsidRPr="000A4BE4">
        <w:t xml:space="preserve"> when it is set at Audit and Governance </w:t>
      </w:r>
      <w:r w:rsidR="70D217E8" w:rsidRPr="000A4BE4">
        <w:t>Committee</w:t>
      </w:r>
      <w:r w:rsidR="29E77C02" w:rsidRPr="000A4BE4">
        <w:t xml:space="preserve"> in </w:t>
      </w:r>
      <w:r w:rsidR="39D1C065" w:rsidRPr="000A4BE4">
        <w:t>January</w:t>
      </w:r>
      <w:r w:rsidR="29E77C02" w:rsidRPr="000A4BE4">
        <w:t xml:space="preserve"> 202</w:t>
      </w:r>
      <w:r w:rsidR="009E3E65" w:rsidRPr="000A4BE4">
        <w:t>6</w:t>
      </w:r>
      <w:r w:rsidR="29E77C02" w:rsidRPr="000A4BE4">
        <w:t xml:space="preserve">. </w:t>
      </w:r>
      <w:r w:rsidRPr="000A4BE4">
        <w:t xml:space="preserve">  </w:t>
      </w:r>
      <w:r w:rsidR="009A7C37" w:rsidRPr="000A4BE4">
        <w:t xml:space="preserve"> </w:t>
      </w:r>
    </w:p>
    <w:p w14:paraId="2C702974" w14:textId="182BDB1A" w:rsidR="00CD709C" w:rsidRPr="000A4BE4" w:rsidRDefault="00382904" w:rsidP="00E801E2">
      <w:pPr>
        <w:pStyle w:val="ReportNumbering"/>
        <w:rPr>
          <w:rFonts w:cs="Arial"/>
          <w:color w:val="000000"/>
        </w:rPr>
      </w:pPr>
      <w:r w:rsidRPr="000A4BE4">
        <w:rPr>
          <w:rFonts w:cs="Arial"/>
          <w:b/>
          <w:color w:val="000000" w:themeColor="text1"/>
        </w:rPr>
        <w:lastRenderedPageBreak/>
        <w:t xml:space="preserve">Interest </w:t>
      </w:r>
      <w:r w:rsidR="00CD709C" w:rsidRPr="000A4BE4">
        <w:rPr>
          <w:rFonts w:cs="Arial"/>
          <w:b/>
          <w:color w:val="000000" w:themeColor="text1"/>
        </w:rPr>
        <w:t>rate assumptions</w:t>
      </w:r>
      <w:r w:rsidR="00CD709C" w:rsidRPr="000A4BE4">
        <w:rPr>
          <w:rFonts w:cs="Arial"/>
          <w:color w:val="000000" w:themeColor="text1"/>
        </w:rPr>
        <w:t xml:space="preserve"> </w:t>
      </w:r>
      <w:r w:rsidRPr="000A4BE4">
        <w:rPr>
          <w:rFonts w:cs="Arial"/>
          <w:color w:val="000000" w:themeColor="text1"/>
        </w:rPr>
        <w:t>–</w:t>
      </w:r>
      <w:r w:rsidR="00CD709C" w:rsidRPr="000A4BE4">
        <w:rPr>
          <w:rFonts w:cs="Arial"/>
          <w:color w:val="000000" w:themeColor="text1"/>
        </w:rPr>
        <w:t xml:space="preserve"> Based on the Bank of England Interest rates shown on Table 3 paragraph </w:t>
      </w:r>
      <w:r w:rsidR="00FE7CC9" w:rsidRPr="000A4BE4">
        <w:rPr>
          <w:rFonts w:cs="Arial"/>
          <w:color w:val="000000" w:themeColor="text1"/>
        </w:rPr>
        <w:t>9</w:t>
      </w:r>
      <w:r w:rsidR="00CD709C" w:rsidRPr="000A4BE4">
        <w:rPr>
          <w:rFonts w:cs="Arial"/>
          <w:color w:val="000000" w:themeColor="text1"/>
        </w:rPr>
        <w:t xml:space="preserve"> the following interest assumptions have been made:</w:t>
      </w:r>
    </w:p>
    <w:p w14:paraId="083FC718" w14:textId="47469411" w:rsidR="00CD709C" w:rsidRPr="000A4BE4" w:rsidRDefault="00CD709C" w:rsidP="00712800">
      <w:pPr>
        <w:pStyle w:val="ListParagraph"/>
        <w:numPr>
          <w:ilvl w:val="0"/>
          <w:numId w:val="28"/>
        </w:numPr>
        <w:shd w:val="clear" w:color="auto" w:fill="FFFFFF" w:themeFill="background1"/>
        <w:tabs>
          <w:tab w:val="left" w:pos="2160"/>
        </w:tabs>
        <w:spacing w:after="120"/>
        <w:rPr>
          <w:rFonts w:cs="Arial"/>
          <w:color w:val="000000"/>
        </w:rPr>
      </w:pPr>
      <w:r w:rsidRPr="000A4BE4">
        <w:rPr>
          <w:rFonts w:cs="Arial"/>
          <w:color w:val="000000" w:themeColor="text1"/>
        </w:rPr>
        <w:t xml:space="preserve">Investment interest </w:t>
      </w:r>
      <w:r w:rsidR="4CA6BC4A" w:rsidRPr="000A4BE4">
        <w:rPr>
          <w:rFonts w:cs="Arial"/>
          <w:color w:val="000000" w:themeColor="text1"/>
        </w:rPr>
        <w:t xml:space="preserve">rates </w:t>
      </w:r>
      <w:r w:rsidRPr="000A4BE4">
        <w:rPr>
          <w:rFonts w:cs="Arial"/>
          <w:color w:val="000000" w:themeColor="text1"/>
        </w:rPr>
        <w:t xml:space="preserve">– </w:t>
      </w:r>
      <w:r w:rsidR="000A4BE4" w:rsidRPr="000A4BE4">
        <w:rPr>
          <w:rFonts w:cs="Arial"/>
          <w:color w:val="000000" w:themeColor="text1"/>
        </w:rPr>
        <w:t>3.6% – 3.25%</w:t>
      </w:r>
    </w:p>
    <w:p w14:paraId="6BD44692" w14:textId="79AB3B18" w:rsidR="00CD709C" w:rsidRPr="00AB38C1" w:rsidRDefault="00116579" w:rsidP="00712800">
      <w:pPr>
        <w:pStyle w:val="ListParagraph"/>
        <w:numPr>
          <w:ilvl w:val="0"/>
          <w:numId w:val="28"/>
        </w:numPr>
        <w:shd w:val="clear" w:color="auto" w:fill="FFFFFF" w:themeFill="background1"/>
        <w:tabs>
          <w:tab w:val="left" w:pos="2160"/>
        </w:tabs>
        <w:spacing w:after="120"/>
        <w:rPr>
          <w:rFonts w:cs="Arial"/>
          <w:color w:val="000000"/>
        </w:rPr>
      </w:pPr>
      <w:r w:rsidRPr="000A4BE4">
        <w:rPr>
          <w:rFonts w:cs="Arial"/>
          <w:color w:val="000000" w:themeColor="text1"/>
        </w:rPr>
        <w:t>Borrowing</w:t>
      </w:r>
      <w:r w:rsidR="00CD709C" w:rsidRPr="000A4BE4">
        <w:rPr>
          <w:rFonts w:cs="Arial"/>
          <w:color w:val="000000" w:themeColor="text1"/>
        </w:rPr>
        <w:t xml:space="preserve"> rates – </w:t>
      </w:r>
      <w:r w:rsidR="57843E55" w:rsidRPr="000A4BE4">
        <w:rPr>
          <w:rFonts w:cs="Arial"/>
          <w:color w:val="000000" w:themeColor="text1"/>
        </w:rPr>
        <w:t>4</w:t>
      </w:r>
      <w:r w:rsidR="00C4327A" w:rsidRPr="000A4BE4">
        <w:rPr>
          <w:rFonts w:cs="Arial"/>
          <w:color w:val="000000" w:themeColor="text1"/>
        </w:rPr>
        <w:t>.5</w:t>
      </w:r>
      <w:r w:rsidR="000A4BE4" w:rsidRPr="000A4BE4">
        <w:rPr>
          <w:rFonts w:cs="Arial"/>
          <w:color w:val="000000" w:themeColor="text1"/>
        </w:rPr>
        <w:t>%</w:t>
      </w:r>
      <w:r w:rsidR="00C4327A" w:rsidRPr="000A4BE4">
        <w:rPr>
          <w:rFonts w:cs="Arial"/>
          <w:color w:val="000000" w:themeColor="text1"/>
        </w:rPr>
        <w:t xml:space="preserve"> – 4.</w:t>
      </w:r>
      <w:r w:rsidR="000A4BE4" w:rsidRPr="000A4BE4">
        <w:rPr>
          <w:rFonts w:cs="Arial"/>
          <w:color w:val="000000" w:themeColor="text1"/>
        </w:rPr>
        <w:t>45%</w:t>
      </w:r>
    </w:p>
    <w:p w14:paraId="6B3189CA" w14:textId="6591D912" w:rsidR="00AB38C1" w:rsidRPr="00AB38C1" w:rsidRDefault="00AB38C1" w:rsidP="00AB38C1">
      <w:pPr>
        <w:shd w:val="clear" w:color="auto" w:fill="FFFFFF" w:themeFill="background1"/>
        <w:tabs>
          <w:tab w:val="left" w:pos="2160"/>
        </w:tabs>
        <w:spacing w:after="120"/>
        <w:ind w:left="360"/>
        <w:rPr>
          <w:rFonts w:cs="Arial"/>
          <w:color w:val="000000"/>
        </w:rPr>
      </w:pPr>
      <w:r>
        <w:rPr>
          <w:rFonts w:cs="Arial"/>
          <w:color w:val="000000"/>
        </w:rPr>
        <w:t xml:space="preserve">Internal borrowing is used in </w:t>
      </w:r>
      <w:r w:rsidR="00E113DC">
        <w:rPr>
          <w:rFonts w:cs="Arial"/>
          <w:color w:val="000000"/>
        </w:rPr>
        <w:t xml:space="preserve">favour of external borrowing and there is currently </w:t>
      </w:r>
      <w:r w:rsidR="00446EF4">
        <w:rPr>
          <w:rFonts w:cs="Arial"/>
          <w:color w:val="000000"/>
        </w:rPr>
        <w:t xml:space="preserve">no General Fund external borrowing although the Capital Financial </w:t>
      </w:r>
      <w:r w:rsidR="008E0092">
        <w:rPr>
          <w:rFonts w:cs="Arial"/>
          <w:color w:val="000000"/>
        </w:rPr>
        <w:t xml:space="preserve">Requirement at the 1-4-2026 is £98.5 million including leases </w:t>
      </w:r>
      <w:r w:rsidR="00CF1A28">
        <w:rPr>
          <w:rFonts w:cs="Arial"/>
          <w:color w:val="000000"/>
        </w:rPr>
        <w:t>of around £26 million rising to £125 million in 202</w:t>
      </w:r>
      <w:r w:rsidR="0086559A">
        <w:rPr>
          <w:rFonts w:cs="Arial"/>
          <w:color w:val="000000"/>
        </w:rPr>
        <w:t>9/30.</w:t>
      </w:r>
      <w:r w:rsidR="00446EF4">
        <w:rPr>
          <w:rFonts w:cs="Arial"/>
          <w:color w:val="000000"/>
        </w:rPr>
        <w:t xml:space="preserve"> </w:t>
      </w:r>
    </w:p>
    <w:p w14:paraId="7DEC5310" w14:textId="66E79291" w:rsidR="0092700E" w:rsidRPr="005D2DD8" w:rsidRDefault="00382904" w:rsidP="00E801E2">
      <w:pPr>
        <w:pStyle w:val="ReportNumbering"/>
        <w:rPr>
          <w:rFonts w:cs="Arial"/>
          <w:color w:val="000000"/>
        </w:rPr>
      </w:pPr>
      <w:r w:rsidRPr="005D2DD8">
        <w:rPr>
          <w:b/>
          <w:color w:val="000000" w:themeColor="text1"/>
        </w:rPr>
        <w:t>External</w:t>
      </w:r>
      <w:r w:rsidR="0045646F" w:rsidRPr="005D2DD8">
        <w:rPr>
          <w:b/>
          <w:color w:val="000000" w:themeColor="text1"/>
        </w:rPr>
        <w:t>ly</w:t>
      </w:r>
      <w:r w:rsidRPr="005D2DD8">
        <w:rPr>
          <w:b/>
          <w:color w:val="000000" w:themeColor="text1"/>
        </w:rPr>
        <w:t xml:space="preserve"> Managed Property Investments </w:t>
      </w:r>
      <w:r w:rsidRPr="005D2DD8">
        <w:rPr>
          <w:rFonts w:cs="Arial"/>
          <w:color w:val="000000" w:themeColor="text1"/>
        </w:rPr>
        <w:t>– The Council h</w:t>
      </w:r>
      <w:r w:rsidR="18596301" w:rsidRPr="005D2DD8">
        <w:rPr>
          <w:rFonts w:cs="Arial"/>
          <w:color w:val="000000" w:themeColor="text1"/>
        </w:rPr>
        <w:t>eld</w:t>
      </w:r>
      <w:r w:rsidRPr="005D2DD8">
        <w:rPr>
          <w:rFonts w:cs="Arial"/>
          <w:color w:val="000000" w:themeColor="text1"/>
        </w:rPr>
        <w:t xml:space="preserve"> £10 million invested in two funds </w:t>
      </w:r>
      <w:r w:rsidR="5A02AB96" w:rsidRPr="005D2DD8">
        <w:rPr>
          <w:rFonts w:cs="Arial"/>
          <w:color w:val="000000" w:themeColor="text1"/>
        </w:rPr>
        <w:t>for £3</w:t>
      </w:r>
      <w:r w:rsidR="00313EBC" w:rsidRPr="005D2DD8">
        <w:rPr>
          <w:rFonts w:cs="Arial"/>
          <w:color w:val="000000" w:themeColor="text1"/>
        </w:rPr>
        <w:t xml:space="preserve"> </w:t>
      </w:r>
      <w:r w:rsidR="5A02AB96" w:rsidRPr="005D2DD8">
        <w:rPr>
          <w:rFonts w:cs="Arial"/>
          <w:color w:val="000000" w:themeColor="text1"/>
        </w:rPr>
        <w:t>m</w:t>
      </w:r>
      <w:r w:rsidR="00313EBC" w:rsidRPr="005D2DD8">
        <w:rPr>
          <w:rFonts w:cs="Arial"/>
          <w:color w:val="000000" w:themeColor="text1"/>
        </w:rPr>
        <w:t>illion</w:t>
      </w:r>
      <w:r w:rsidR="5A02AB96" w:rsidRPr="005D2DD8">
        <w:rPr>
          <w:rFonts w:cs="Arial"/>
          <w:color w:val="000000" w:themeColor="text1"/>
        </w:rPr>
        <w:t xml:space="preserve"> and £7</w:t>
      </w:r>
      <w:r w:rsidR="00313EBC" w:rsidRPr="005D2DD8">
        <w:rPr>
          <w:rFonts w:cs="Arial"/>
          <w:color w:val="000000" w:themeColor="text1"/>
        </w:rPr>
        <w:t xml:space="preserve"> </w:t>
      </w:r>
      <w:r w:rsidR="5A02AB96" w:rsidRPr="005D2DD8">
        <w:rPr>
          <w:rFonts w:cs="Arial"/>
          <w:color w:val="000000" w:themeColor="text1"/>
        </w:rPr>
        <w:t>million respectively.</w:t>
      </w:r>
      <w:r w:rsidRPr="005D2DD8">
        <w:rPr>
          <w:rFonts w:cs="Arial"/>
          <w:color w:val="000000" w:themeColor="text1"/>
        </w:rPr>
        <w:t xml:space="preserve">  </w:t>
      </w:r>
      <w:r w:rsidR="15AE05D1" w:rsidRPr="005D2DD8">
        <w:rPr>
          <w:rFonts w:cs="Arial"/>
          <w:color w:val="000000" w:themeColor="text1"/>
        </w:rPr>
        <w:t xml:space="preserve">Whilst </w:t>
      </w:r>
      <w:r w:rsidR="002C6C42" w:rsidRPr="005D2DD8">
        <w:rPr>
          <w:rFonts w:cs="Arial"/>
          <w:color w:val="000000" w:themeColor="text1"/>
        </w:rPr>
        <w:t>the £3</w:t>
      </w:r>
      <w:r w:rsidR="00313EBC" w:rsidRPr="005D2DD8">
        <w:rPr>
          <w:rFonts w:cs="Arial"/>
          <w:color w:val="000000" w:themeColor="text1"/>
        </w:rPr>
        <w:t xml:space="preserve"> </w:t>
      </w:r>
      <w:r w:rsidR="002C6C42" w:rsidRPr="005D2DD8">
        <w:rPr>
          <w:rFonts w:cs="Arial"/>
          <w:color w:val="000000" w:themeColor="text1"/>
        </w:rPr>
        <w:t>m</w:t>
      </w:r>
      <w:r w:rsidR="00313EBC" w:rsidRPr="005D2DD8">
        <w:rPr>
          <w:rFonts w:cs="Arial"/>
          <w:color w:val="000000" w:themeColor="text1"/>
        </w:rPr>
        <w:t>illion</w:t>
      </w:r>
      <w:r w:rsidR="15AE05D1" w:rsidRPr="005D2DD8">
        <w:rPr>
          <w:rFonts w:cs="Arial"/>
          <w:color w:val="000000" w:themeColor="text1"/>
        </w:rPr>
        <w:t xml:space="preserve"> fund remains </w:t>
      </w:r>
      <w:r w:rsidR="00313EBC" w:rsidRPr="005D2DD8">
        <w:rPr>
          <w:rFonts w:cs="Arial"/>
          <w:color w:val="000000" w:themeColor="text1"/>
        </w:rPr>
        <w:t xml:space="preserve">in its entirety </w:t>
      </w:r>
      <w:r w:rsidR="15AE05D1" w:rsidRPr="005D2DD8">
        <w:rPr>
          <w:rFonts w:cs="Arial"/>
          <w:color w:val="000000" w:themeColor="text1"/>
        </w:rPr>
        <w:t xml:space="preserve">the council </w:t>
      </w:r>
      <w:r w:rsidR="00313EBC" w:rsidRPr="005D2DD8">
        <w:rPr>
          <w:rFonts w:cs="Arial"/>
          <w:color w:val="000000" w:themeColor="text1"/>
        </w:rPr>
        <w:t>i</w:t>
      </w:r>
      <w:r w:rsidR="15AE05D1" w:rsidRPr="005D2DD8">
        <w:rPr>
          <w:rFonts w:cs="Arial"/>
          <w:color w:val="000000" w:themeColor="text1"/>
        </w:rPr>
        <w:t>s withdraw</w:t>
      </w:r>
      <w:r w:rsidR="00313EBC" w:rsidRPr="005D2DD8">
        <w:rPr>
          <w:rFonts w:cs="Arial"/>
          <w:color w:val="000000" w:themeColor="text1"/>
        </w:rPr>
        <w:t>ing</w:t>
      </w:r>
      <w:r w:rsidR="15AE05D1" w:rsidRPr="005D2DD8">
        <w:rPr>
          <w:rFonts w:cs="Arial"/>
          <w:color w:val="000000" w:themeColor="text1"/>
        </w:rPr>
        <w:t xml:space="preserve"> its funds </w:t>
      </w:r>
      <w:r w:rsidR="00F47B17" w:rsidRPr="005D2DD8">
        <w:rPr>
          <w:rFonts w:cs="Arial"/>
          <w:color w:val="000000" w:themeColor="text1"/>
        </w:rPr>
        <w:t>from the larger of the two</w:t>
      </w:r>
      <w:r w:rsidR="15AE05D1" w:rsidRPr="005D2DD8">
        <w:rPr>
          <w:rFonts w:cs="Arial"/>
          <w:color w:val="000000" w:themeColor="text1"/>
        </w:rPr>
        <w:t>. This is a gradual process requiring the fund manager to sel</w:t>
      </w:r>
      <w:r w:rsidR="21F76001" w:rsidRPr="005D2DD8">
        <w:rPr>
          <w:rFonts w:cs="Arial"/>
          <w:color w:val="000000" w:themeColor="text1"/>
        </w:rPr>
        <w:t>l</w:t>
      </w:r>
      <w:r w:rsidR="15AE05D1" w:rsidRPr="005D2DD8">
        <w:rPr>
          <w:rFonts w:cs="Arial"/>
          <w:color w:val="000000" w:themeColor="text1"/>
        </w:rPr>
        <w:t xml:space="preserve"> assets in order to fund withdrawals</w:t>
      </w:r>
      <w:r w:rsidR="206BC0E1" w:rsidRPr="005D2DD8">
        <w:rPr>
          <w:rFonts w:cs="Arial"/>
          <w:color w:val="000000" w:themeColor="text1"/>
        </w:rPr>
        <w:t xml:space="preserve"> although the council should have fully exited this fund by 2025-26. </w:t>
      </w:r>
      <w:r w:rsidRPr="005D2DD8">
        <w:rPr>
          <w:rFonts w:cs="Arial"/>
          <w:color w:val="000000" w:themeColor="text1"/>
        </w:rPr>
        <w:t xml:space="preserve">The Council </w:t>
      </w:r>
      <w:r w:rsidR="5355F7F1" w:rsidRPr="005D2DD8">
        <w:rPr>
          <w:rFonts w:cs="Arial"/>
          <w:color w:val="000000" w:themeColor="text1"/>
        </w:rPr>
        <w:t xml:space="preserve">continues to </w:t>
      </w:r>
      <w:r w:rsidRPr="005D2DD8">
        <w:rPr>
          <w:rFonts w:cs="Arial"/>
          <w:color w:val="000000" w:themeColor="text1"/>
        </w:rPr>
        <w:t>make return</w:t>
      </w:r>
      <w:r w:rsidR="59C5D4B0" w:rsidRPr="005D2DD8">
        <w:rPr>
          <w:rFonts w:cs="Arial"/>
          <w:color w:val="000000" w:themeColor="text1"/>
        </w:rPr>
        <w:t>s</w:t>
      </w:r>
      <w:r w:rsidRPr="005D2DD8">
        <w:rPr>
          <w:rFonts w:cs="Arial"/>
          <w:color w:val="000000" w:themeColor="text1"/>
        </w:rPr>
        <w:t xml:space="preserve"> of around 3.5% </w:t>
      </w:r>
      <w:r w:rsidR="547FE968" w:rsidRPr="005D2DD8">
        <w:rPr>
          <w:rFonts w:cs="Arial"/>
          <w:color w:val="000000" w:themeColor="text1"/>
        </w:rPr>
        <w:t xml:space="preserve">although capital values are still depressed. </w:t>
      </w:r>
    </w:p>
    <w:p w14:paraId="7BC59339" w14:textId="0E544680" w:rsidR="0092700E" w:rsidRPr="003E7FE1" w:rsidRDefault="00B1783C" w:rsidP="00E801E2">
      <w:pPr>
        <w:pStyle w:val="ReportNumbering"/>
        <w:rPr>
          <w:rFonts w:cs="Arial"/>
          <w:color w:val="000000"/>
        </w:rPr>
      </w:pPr>
      <w:r w:rsidRPr="003E7FE1">
        <w:rPr>
          <w:b/>
          <w:color w:val="000000" w:themeColor="text1"/>
        </w:rPr>
        <w:t xml:space="preserve">Ray Valley Solar Farm </w:t>
      </w:r>
      <w:r w:rsidRPr="003E7FE1">
        <w:rPr>
          <w:rFonts w:cs="Arial"/>
          <w:color w:val="000000" w:themeColor="text1"/>
        </w:rPr>
        <w:t xml:space="preserve">– </w:t>
      </w:r>
      <w:r w:rsidR="004A2775" w:rsidRPr="003E7FE1">
        <w:rPr>
          <w:rFonts w:cs="Arial"/>
          <w:color w:val="000000" w:themeColor="text1"/>
        </w:rPr>
        <w:t xml:space="preserve">The Council holds </w:t>
      </w:r>
      <w:r w:rsidR="00313EBC" w:rsidRPr="003E7FE1">
        <w:rPr>
          <w:rFonts w:cs="Arial"/>
          <w:color w:val="000000" w:themeColor="text1"/>
        </w:rPr>
        <w:t>loans to</w:t>
      </w:r>
      <w:r w:rsidR="004A2775" w:rsidRPr="003E7FE1">
        <w:rPr>
          <w:rFonts w:cs="Arial"/>
          <w:color w:val="000000" w:themeColor="text1"/>
        </w:rPr>
        <w:t xml:space="preserve"> Ray Valley Solar Farm of £4 million</w:t>
      </w:r>
      <w:r w:rsidR="0092700E" w:rsidRPr="003E7FE1">
        <w:rPr>
          <w:rFonts w:cs="Arial"/>
          <w:color w:val="000000" w:themeColor="text1"/>
        </w:rPr>
        <w:t xml:space="preserve">. </w:t>
      </w:r>
    </w:p>
    <w:p w14:paraId="65ADDC8E" w14:textId="64B3FEC8" w:rsidR="00913671" w:rsidRPr="00626B85" w:rsidRDefault="0092700E" w:rsidP="00E801E2">
      <w:pPr>
        <w:pStyle w:val="ReportNumbering"/>
        <w:rPr>
          <w:color w:val="000000" w:themeColor="text1"/>
        </w:rPr>
      </w:pPr>
      <w:r w:rsidRPr="001F07FA">
        <w:rPr>
          <w:b/>
          <w:color w:val="000000" w:themeColor="text1"/>
        </w:rPr>
        <w:t xml:space="preserve">Multi Asset </w:t>
      </w:r>
      <w:r w:rsidR="00F72D3A" w:rsidRPr="001F07FA">
        <w:rPr>
          <w:b/>
          <w:color w:val="000000" w:themeColor="text1"/>
        </w:rPr>
        <w:t>Funds</w:t>
      </w:r>
      <w:r w:rsidRPr="001F07FA">
        <w:rPr>
          <w:b/>
          <w:color w:val="000000" w:themeColor="text1"/>
        </w:rPr>
        <w:t xml:space="preserve"> </w:t>
      </w:r>
      <w:r w:rsidR="00BC102C" w:rsidRPr="001F07FA">
        <w:rPr>
          <w:bCs/>
          <w:color w:val="000000" w:themeColor="text1"/>
        </w:rPr>
        <w:t>–</w:t>
      </w:r>
      <w:r w:rsidRPr="001F07FA">
        <w:rPr>
          <w:color w:val="000000" w:themeColor="text1"/>
        </w:rPr>
        <w:t xml:space="preserve"> </w:t>
      </w:r>
      <w:r w:rsidR="00F33FFD" w:rsidRPr="001F07FA">
        <w:rPr>
          <w:color w:val="000000" w:themeColor="text1"/>
        </w:rPr>
        <w:t>T</w:t>
      </w:r>
      <w:r w:rsidR="002D0973" w:rsidRPr="001F07FA">
        <w:rPr>
          <w:color w:val="000000" w:themeColor="text1"/>
        </w:rPr>
        <w:t>he Council has appointed two fund managers</w:t>
      </w:r>
      <w:r w:rsidR="00D13C66" w:rsidRPr="001F07FA">
        <w:rPr>
          <w:bCs/>
          <w:color w:val="000000" w:themeColor="text1"/>
        </w:rPr>
        <w:t>,</w:t>
      </w:r>
      <w:r w:rsidR="002D0973" w:rsidRPr="001F07FA">
        <w:rPr>
          <w:color w:val="000000" w:themeColor="text1"/>
        </w:rPr>
        <w:t xml:space="preserve"> Artemis and Fidelity</w:t>
      </w:r>
      <w:r w:rsidR="00D13C66" w:rsidRPr="001F07FA">
        <w:rPr>
          <w:bCs/>
          <w:color w:val="000000" w:themeColor="text1"/>
        </w:rPr>
        <w:t>,</w:t>
      </w:r>
      <w:r w:rsidR="002D0973" w:rsidRPr="001F07FA">
        <w:rPr>
          <w:color w:val="000000" w:themeColor="text1"/>
        </w:rPr>
        <w:t xml:space="preserve"> to manage £</w:t>
      </w:r>
      <w:r w:rsidR="002D0973" w:rsidRPr="001F07FA">
        <w:rPr>
          <w:bCs/>
          <w:color w:val="000000" w:themeColor="text1"/>
        </w:rPr>
        <w:t>5</w:t>
      </w:r>
      <w:r w:rsidR="00313EBC" w:rsidRPr="001F07FA">
        <w:rPr>
          <w:bCs/>
          <w:color w:val="000000" w:themeColor="text1"/>
        </w:rPr>
        <w:t xml:space="preserve"> </w:t>
      </w:r>
      <w:r w:rsidR="002D0973" w:rsidRPr="001F07FA">
        <w:rPr>
          <w:bCs/>
          <w:color w:val="000000" w:themeColor="text1"/>
        </w:rPr>
        <w:t>million</w:t>
      </w:r>
      <w:r w:rsidR="002D0973" w:rsidRPr="001F07FA">
        <w:rPr>
          <w:color w:val="000000" w:themeColor="text1"/>
        </w:rPr>
        <w:t xml:space="preserve"> each of the </w:t>
      </w:r>
      <w:r w:rsidR="007E7FA6" w:rsidRPr="001F07FA">
        <w:rPr>
          <w:color w:val="000000" w:themeColor="text1"/>
        </w:rPr>
        <w:t>Council’s</w:t>
      </w:r>
      <w:r w:rsidR="002D0973" w:rsidRPr="001F07FA">
        <w:rPr>
          <w:color w:val="000000" w:themeColor="text1"/>
        </w:rPr>
        <w:t xml:space="preserve"> investments. </w:t>
      </w:r>
      <w:r w:rsidR="00F72D3A" w:rsidRPr="001F07FA">
        <w:rPr>
          <w:color w:val="000000" w:themeColor="text1"/>
        </w:rPr>
        <w:t xml:space="preserve">The funds consist of </w:t>
      </w:r>
      <w:r w:rsidR="00180D1A" w:rsidRPr="001F07FA">
        <w:rPr>
          <w:color w:val="000000" w:themeColor="text1"/>
        </w:rPr>
        <w:t xml:space="preserve">a diverse range of investments including </w:t>
      </w:r>
      <w:r w:rsidR="00F72D3A" w:rsidRPr="001F07FA">
        <w:rPr>
          <w:color w:val="000000" w:themeColor="text1"/>
        </w:rPr>
        <w:t xml:space="preserve">stocks shares and </w:t>
      </w:r>
      <w:r w:rsidR="00180D1A" w:rsidRPr="001F07FA">
        <w:rPr>
          <w:color w:val="000000" w:themeColor="text1"/>
        </w:rPr>
        <w:t>cash</w:t>
      </w:r>
      <w:r w:rsidR="319BC0E4" w:rsidRPr="001F07FA">
        <w:rPr>
          <w:color w:val="000000" w:themeColor="text1"/>
        </w:rPr>
        <w:t>.</w:t>
      </w:r>
      <w:r w:rsidR="00180D1A" w:rsidRPr="001F07FA">
        <w:rPr>
          <w:color w:val="000000" w:themeColor="text1"/>
        </w:rPr>
        <w:t xml:space="preserve"> </w:t>
      </w:r>
      <w:r w:rsidR="0EB5836A" w:rsidRPr="001F07FA">
        <w:rPr>
          <w:color w:val="000000" w:themeColor="text1"/>
        </w:rPr>
        <w:t xml:space="preserve">Whilst financial returns continue to run at around 3-4% the principal value of the fund have been </w:t>
      </w:r>
      <w:r w:rsidR="58B9DB20" w:rsidRPr="00626B85">
        <w:rPr>
          <w:color w:val="000000" w:themeColor="text1"/>
        </w:rPr>
        <w:t>trading below par, albeit they</w:t>
      </w:r>
      <w:r w:rsidR="00F72D3A" w:rsidRPr="00626B85">
        <w:rPr>
          <w:color w:val="000000" w:themeColor="text1"/>
        </w:rPr>
        <w:t xml:space="preserve"> </w:t>
      </w:r>
      <w:r w:rsidR="00F33FFD" w:rsidRPr="00626B85">
        <w:rPr>
          <w:color w:val="000000" w:themeColor="text1"/>
        </w:rPr>
        <w:t xml:space="preserve">are </w:t>
      </w:r>
      <w:r w:rsidR="58B9DB20" w:rsidRPr="00626B85">
        <w:rPr>
          <w:color w:val="000000" w:themeColor="text1"/>
        </w:rPr>
        <w:t>now showing signs</w:t>
      </w:r>
      <w:r w:rsidR="00F72D3A" w:rsidRPr="00626B85">
        <w:rPr>
          <w:color w:val="000000" w:themeColor="text1"/>
        </w:rPr>
        <w:t xml:space="preserve"> of </w:t>
      </w:r>
      <w:r w:rsidR="58B9DB20" w:rsidRPr="00626B85">
        <w:rPr>
          <w:color w:val="000000" w:themeColor="text1"/>
        </w:rPr>
        <w:t>recovery.</w:t>
      </w:r>
      <w:r w:rsidR="00A94804" w:rsidRPr="00626B85">
        <w:rPr>
          <w:color w:val="000000" w:themeColor="text1"/>
        </w:rPr>
        <w:t xml:space="preserve"> </w:t>
      </w:r>
      <w:r w:rsidR="75349616" w:rsidRPr="00626B85">
        <w:rPr>
          <w:color w:val="000000" w:themeColor="text1"/>
        </w:rPr>
        <w:t>The</w:t>
      </w:r>
      <w:r w:rsidR="5322A054" w:rsidRPr="00626B85">
        <w:rPr>
          <w:color w:val="000000" w:themeColor="text1"/>
        </w:rPr>
        <w:t>se funds</w:t>
      </w:r>
      <w:r w:rsidR="00A94804" w:rsidRPr="00626B85">
        <w:rPr>
          <w:color w:val="000000" w:themeColor="text1"/>
        </w:rPr>
        <w:t xml:space="preserve"> are long term holdings in nature </w:t>
      </w:r>
      <w:r w:rsidR="1F882E7E" w:rsidRPr="00626B85">
        <w:rPr>
          <w:color w:val="000000" w:themeColor="text1"/>
        </w:rPr>
        <w:t>and</w:t>
      </w:r>
      <w:r w:rsidR="00A94804" w:rsidRPr="00626B85">
        <w:rPr>
          <w:color w:val="000000" w:themeColor="text1"/>
        </w:rPr>
        <w:t xml:space="preserve"> </w:t>
      </w:r>
      <w:r w:rsidR="00F33FFD" w:rsidRPr="00626B85">
        <w:rPr>
          <w:color w:val="000000" w:themeColor="text1"/>
        </w:rPr>
        <w:t>the position is</w:t>
      </w:r>
      <w:r w:rsidR="00A94804" w:rsidRPr="00626B85">
        <w:rPr>
          <w:color w:val="000000" w:themeColor="text1"/>
        </w:rPr>
        <w:t xml:space="preserve"> being monitored.</w:t>
      </w:r>
    </w:p>
    <w:p w14:paraId="59F30E53" w14:textId="16AEE518" w:rsidR="00382904" w:rsidRPr="00626B85" w:rsidRDefault="00382904" w:rsidP="00E801E2">
      <w:pPr>
        <w:pStyle w:val="ReportNumbering"/>
        <w:rPr>
          <w:color w:val="000000" w:themeColor="text1"/>
        </w:rPr>
      </w:pPr>
      <w:r w:rsidRPr="00626B85">
        <w:rPr>
          <w:b/>
          <w:color w:val="000000" w:themeColor="text1"/>
        </w:rPr>
        <w:t xml:space="preserve">OxWed Development – </w:t>
      </w:r>
      <w:r w:rsidRPr="00626B85">
        <w:rPr>
          <w:color w:val="000000" w:themeColor="text1"/>
        </w:rPr>
        <w:t xml:space="preserve">The Council has </w:t>
      </w:r>
      <w:r w:rsidR="00050BE7" w:rsidRPr="00626B85">
        <w:rPr>
          <w:color w:val="000000" w:themeColor="text1"/>
        </w:rPr>
        <w:t xml:space="preserve">outstanding </w:t>
      </w:r>
      <w:r w:rsidRPr="00626B85">
        <w:rPr>
          <w:color w:val="000000" w:themeColor="text1"/>
        </w:rPr>
        <w:t xml:space="preserve">loans </w:t>
      </w:r>
      <w:r w:rsidR="00050BE7" w:rsidRPr="00626B85">
        <w:rPr>
          <w:color w:val="000000" w:themeColor="text1"/>
        </w:rPr>
        <w:t xml:space="preserve">and accrued interest of </w:t>
      </w:r>
      <w:r w:rsidRPr="00626B85">
        <w:rPr>
          <w:color w:val="000000" w:themeColor="text1"/>
        </w:rPr>
        <w:t>approximately £</w:t>
      </w:r>
      <w:r w:rsidR="00050BE7" w:rsidRPr="00626B85">
        <w:rPr>
          <w:color w:val="000000" w:themeColor="text1"/>
        </w:rPr>
        <w:t>21</w:t>
      </w:r>
      <w:r w:rsidR="00454091" w:rsidRPr="00626B85">
        <w:rPr>
          <w:color w:val="000000" w:themeColor="text1"/>
        </w:rPr>
        <w:t xml:space="preserve"> </w:t>
      </w:r>
      <w:r w:rsidRPr="00626B85">
        <w:rPr>
          <w:color w:val="000000" w:themeColor="text1"/>
        </w:rPr>
        <w:t xml:space="preserve">million in </w:t>
      </w:r>
      <w:r w:rsidR="0032264D" w:rsidRPr="00626B85">
        <w:rPr>
          <w:color w:val="000000" w:themeColor="text1"/>
        </w:rPr>
        <w:t>a</w:t>
      </w:r>
      <w:r w:rsidRPr="00626B85">
        <w:rPr>
          <w:color w:val="000000" w:themeColor="text1"/>
        </w:rPr>
        <w:t xml:space="preserve"> 50/50 </w:t>
      </w:r>
      <w:r w:rsidR="0032264D" w:rsidRPr="00626B85">
        <w:rPr>
          <w:color w:val="000000" w:themeColor="text1"/>
        </w:rPr>
        <w:t>Limited Liability Partnership</w:t>
      </w:r>
      <w:r w:rsidRPr="00626B85">
        <w:rPr>
          <w:color w:val="000000" w:themeColor="text1"/>
        </w:rPr>
        <w:t xml:space="preserve"> </w:t>
      </w:r>
      <w:r w:rsidR="00623404" w:rsidRPr="00626B85">
        <w:rPr>
          <w:color w:val="000000" w:themeColor="text1"/>
        </w:rPr>
        <w:t xml:space="preserve">(LLP) </w:t>
      </w:r>
      <w:r w:rsidRPr="00626B85">
        <w:rPr>
          <w:color w:val="000000" w:themeColor="text1"/>
        </w:rPr>
        <w:t>with Nuffield College</w:t>
      </w:r>
      <w:r w:rsidR="0032264D" w:rsidRPr="00626B85">
        <w:rPr>
          <w:color w:val="000000" w:themeColor="text1"/>
        </w:rPr>
        <w:t xml:space="preserve">. </w:t>
      </w:r>
      <w:r w:rsidRPr="00626B85">
        <w:rPr>
          <w:color w:val="000000" w:themeColor="text1"/>
        </w:rPr>
        <w:t xml:space="preserve"> </w:t>
      </w:r>
      <w:r w:rsidR="0032264D" w:rsidRPr="00626B85">
        <w:rPr>
          <w:color w:val="000000" w:themeColor="text1"/>
        </w:rPr>
        <w:t xml:space="preserve">Loan rates are </w:t>
      </w:r>
      <w:r w:rsidR="00623404" w:rsidRPr="00626B85">
        <w:rPr>
          <w:color w:val="000000" w:themeColor="text1"/>
        </w:rPr>
        <w:t>4% above base</w:t>
      </w:r>
      <w:r w:rsidRPr="00626B85">
        <w:rPr>
          <w:color w:val="000000" w:themeColor="text1"/>
        </w:rPr>
        <w:t xml:space="preserve">. </w:t>
      </w:r>
      <w:r w:rsidR="00913671" w:rsidRPr="00626B85">
        <w:rPr>
          <w:color w:val="000000" w:themeColor="text1"/>
        </w:rPr>
        <w:t xml:space="preserve">Since the </w:t>
      </w:r>
      <w:r w:rsidR="00623404" w:rsidRPr="00626B85">
        <w:rPr>
          <w:color w:val="000000" w:themeColor="text1"/>
        </w:rPr>
        <w:t>LLP</w:t>
      </w:r>
      <w:r w:rsidR="00913671" w:rsidRPr="00626B85">
        <w:rPr>
          <w:color w:val="000000" w:themeColor="text1"/>
        </w:rPr>
        <w:t xml:space="preserve"> has yet to make a </w:t>
      </w:r>
      <w:r w:rsidR="6B87C4CC" w:rsidRPr="00626B85">
        <w:rPr>
          <w:color w:val="000000" w:themeColor="text1"/>
        </w:rPr>
        <w:t>surplus,</w:t>
      </w:r>
      <w:r w:rsidR="00913671" w:rsidRPr="00626B85">
        <w:rPr>
          <w:color w:val="000000" w:themeColor="text1"/>
        </w:rPr>
        <w:t xml:space="preserve"> this interest is </w:t>
      </w:r>
      <w:r w:rsidR="00913671" w:rsidRPr="00F5350B">
        <w:rPr>
          <w:color w:val="000000" w:themeColor="text1"/>
        </w:rPr>
        <w:t xml:space="preserve">accrued rather than paid. </w:t>
      </w:r>
      <w:r w:rsidR="00DE2865" w:rsidRPr="00F5350B">
        <w:rPr>
          <w:bCs/>
          <w:color w:val="000000" w:themeColor="text1"/>
        </w:rPr>
        <w:t>As at 31</w:t>
      </w:r>
      <w:r w:rsidR="00DE2865" w:rsidRPr="00F5350B">
        <w:rPr>
          <w:bCs/>
          <w:color w:val="000000" w:themeColor="text1"/>
          <w:vertAlign w:val="superscript"/>
        </w:rPr>
        <w:t>st</w:t>
      </w:r>
      <w:r w:rsidR="00DE2865" w:rsidRPr="00F5350B">
        <w:rPr>
          <w:bCs/>
          <w:color w:val="000000" w:themeColor="text1"/>
        </w:rPr>
        <w:t xml:space="preserve"> March 2025</w:t>
      </w:r>
      <w:r w:rsidR="00913671" w:rsidRPr="00F5350B">
        <w:rPr>
          <w:color w:val="000000" w:themeColor="text1"/>
        </w:rPr>
        <w:t xml:space="preserve"> the total of accrued interest </w:t>
      </w:r>
      <w:r w:rsidR="00DE2865" w:rsidRPr="00F5350B">
        <w:rPr>
          <w:bCs/>
          <w:color w:val="000000" w:themeColor="text1"/>
        </w:rPr>
        <w:t>will be</w:t>
      </w:r>
      <w:r w:rsidR="00913671" w:rsidRPr="00F5350B">
        <w:rPr>
          <w:bCs/>
          <w:color w:val="000000" w:themeColor="text1"/>
        </w:rPr>
        <w:t xml:space="preserve"> </w:t>
      </w:r>
      <w:r w:rsidR="00F41FCE" w:rsidRPr="00F5350B">
        <w:rPr>
          <w:bCs/>
          <w:color w:val="000000" w:themeColor="text1"/>
        </w:rPr>
        <w:t xml:space="preserve">approximately </w:t>
      </w:r>
      <w:r w:rsidR="004A2775" w:rsidRPr="00F5350B">
        <w:rPr>
          <w:bCs/>
          <w:color w:val="000000" w:themeColor="text1"/>
        </w:rPr>
        <w:t>£</w:t>
      </w:r>
      <w:r w:rsidR="00F5350B" w:rsidRPr="00F5350B">
        <w:rPr>
          <w:bCs/>
          <w:color w:val="000000" w:themeColor="text1"/>
        </w:rPr>
        <w:t>5</w:t>
      </w:r>
      <w:r w:rsidR="004A2775" w:rsidRPr="00F5350B">
        <w:rPr>
          <w:bCs/>
          <w:color w:val="000000" w:themeColor="text1"/>
        </w:rPr>
        <w:t xml:space="preserve"> million.</w:t>
      </w:r>
      <w:r w:rsidR="004A2775" w:rsidRPr="00F5350B">
        <w:rPr>
          <w:color w:val="000000" w:themeColor="text1"/>
        </w:rPr>
        <w:t xml:space="preserve"> The </w:t>
      </w:r>
      <w:r w:rsidR="004D2D29" w:rsidRPr="00F5350B">
        <w:rPr>
          <w:color w:val="000000" w:themeColor="text1"/>
        </w:rPr>
        <w:t>LLP</w:t>
      </w:r>
      <w:r w:rsidR="004A2775" w:rsidRPr="00F5350B">
        <w:rPr>
          <w:color w:val="000000" w:themeColor="text1"/>
        </w:rPr>
        <w:t xml:space="preserve"> is in the process of applying for planning </w:t>
      </w:r>
      <w:r w:rsidR="00792100" w:rsidRPr="00F5350B">
        <w:rPr>
          <w:color w:val="000000" w:themeColor="text1"/>
        </w:rPr>
        <w:t xml:space="preserve">permission to develop </w:t>
      </w:r>
      <w:r w:rsidR="004A2775" w:rsidRPr="00F5350B">
        <w:rPr>
          <w:color w:val="000000" w:themeColor="text1"/>
        </w:rPr>
        <w:t xml:space="preserve">the site </w:t>
      </w:r>
      <w:r w:rsidR="06384B3F" w:rsidRPr="00F5350B">
        <w:rPr>
          <w:color w:val="000000" w:themeColor="text1"/>
        </w:rPr>
        <w:t xml:space="preserve">and subject </w:t>
      </w:r>
      <w:r w:rsidR="242FA309" w:rsidRPr="00F5350B">
        <w:rPr>
          <w:color w:val="000000" w:themeColor="text1"/>
        </w:rPr>
        <w:t xml:space="preserve">to this, </w:t>
      </w:r>
      <w:r w:rsidR="5FA85995" w:rsidRPr="00F5350B">
        <w:rPr>
          <w:color w:val="000000" w:themeColor="text1"/>
        </w:rPr>
        <w:t xml:space="preserve">will </w:t>
      </w:r>
      <w:r w:rsidR="3332F0C8" w:rsidRPr="00F5350B">
        <w:rPr>
          <w:color w:val="000000" w:themeColor="text1"/>
        </w:rPr>
        <w:t xml:space="preserve">then </w:t>
      </w:r>
      <w:r w:rsidR="5FA85995" w:rsidRPr="00F5350B">
        <w:rPr>
          <w:color w:val="000000" w:themeColor="text1"/>
        </w:rPr>
        <w:t>look to secure a development partner, or partners</w:t>
      </w:r>
      <w:r w:rsidR="004A2775" w:rsidRPr="00F5350B">
        <w:rPr>
          <w:color w:val="000000" w:themeColor="text1"/>
        </w:rPr>
        <w:t>. At this</w:t>
      </w:r>
      <w:r w:rsidR="004A2775" w:rsidRPr="00626B85">
        <w:rPr>
          <w:color w:val="000000" w:themeColor="text1"/>
        </w:rPr>
        <w:t xml:space="preserve"> point the Council</w:t>
      </w:r>
      <w:r w:rsidR="74BA9167" w:rsidRPr="00626B85">
        <w:rPr>
          <w:color w:val="000000" w:themeColor="text1"/>
        </w:rPr>
        <w:t>’</w:t>
      </w:r>
      <w:r w:rsidR="004A2775" w:rsidRPr="00626B85">
        <w:rPr>
          <w:color w:val="000000" w:themeColor="text1"/>
        </w:rPr>
        <w:t xml:space="preserve">s investment and accrued interest will be paid together with a proportion of the profits from the sale. The value </w:t>
      </w:r>
      <w:r w:rsidR="004D515A" w:rsidRPr="00626B85">
        <w:rPr>
          <w:color w:val="000000" w:themeColor="text1"/>
        </w:rPr>
        <w:t xml:space="preserve">and timing </w:t>
      </w:r>
      <w:r w:rsidR="004A2775" w:rsidRPr="00626B85">
        <w:rPr>
          <w:color w:val="000000" w:themeColor="text1"/>
        </w:rPr>
        <w:t xml:space="preserve">of profits </w:t>
      </w:r>
      <w:r w:rsidR="004D515A" w:rsidRPr="00626B85">
        <w:rPr>
          <w:color w:val="000000" w:themeColor="text1"/>
        </w:rPr>
        <w:t>at this point are uncertain although suitable budget assumptions have been made within the MTFS.</w:t>
      </w:r>
      <w:r w:rsidR="004A2775" w:rsidRPr="00626B85">
        <w:rPr>
          <w:color w:val="000000" w:themeColor="text1"/>
        </w:rPr>
        <w:t xml:space="preserve"> </w:t>
      </w:r>
      <w:r w:rsidR="00171330" w:rsidRPr="00626B85">
        <w:rPr>
          <w:color w:val="000000" w:themeColor="text1"/>
        </w:rPr>
        <w:t xml:space="preserve"> </w:t>
      </w:r>
    </w:p>
    <w:p w14:paraId="5C795EB7" w14:textId="537567E5" w:rsidR="00BF0C29" w:rsidRPr="007A3D69" w:rsidRDefault="2DF77102" w:rsidP="00E801E2">
      <w:pPr>
        <w:pStyle w:val="ReportNumbering"/>
        <w:rPr>
          <w:b/>
          <w:bCs/>
          <w:color w:val="000000" w:themeColor="text1"/>
        </w:rPr>
      </w:pPr>
      <w:r w:rsidRPr="007A3D69">
        <w:rPr>
          <w:b/>
          <w:bCs/>
          <w:color w:val="000000" w:themeColor="text1"/>
        </w:rPr>
        <w:t xml:space="preserve">Housing Company – </w:t>
      </w:r>
      <w:r w:rsidRPr="007A3D69">
        <w:rPr>
          <w:color w:val="000000" w:themeColor="text1"/>
        </w:rPr>
        <w:t xml:space="preserve">The Council provides </w:t>
      </w:r>
      <w:r w:rsidR="059DFE09" w:rsidRPr="007A3D69">
        <w:rPr>
          <w:color w:val="000000" w:themeColor="text1"/>
        </w:rPr>
        <w:t>subsidy control</w:t>
      </w:r>
      <w:r w:rsidRPr="007A3D69">
        <w:rPr>
          <w:color w:val="000000" w:themeColor="text1"/>
        </w:rPr>
        <w:t xml:space="preserve"> compliant loans to its wholly owned company Oxford City Housing Ltd </w:t>
      </w:r>
      <w:r w:rsidR="00687451" w:rsidRPr="007A3D69">
        <w:rPr>
          <w:color w:val="000000" w:themeColor="text1"/>
        </w:rPr>
        <w:t xml:space="preserve">(which trades as OxPlace) </w:t>
      </w:r>
      <w:r w:rsidRPr="007A3D69">
        <w:rPr>
          <w:color w:val="000000" w:themeColor="text1"/>
        </w:rPr>
        <w:t>and makes a return above that which it borrows from PWLB. The margi</w:t>
      </w:r>
      <w:r w:rsidR="198A3CF6" w:rsidRPr="007A3D69">
        <w:rPr>
          <w:color w:val="000000" w:themeColor="text1"/>
        </w:rPr>
        <w:t xml:space="preserve">nal return is currently </w:t>
      </w:r>
      <w:r w:rsidR="04413C44" w:rsidRPr="007A3D69">
        <w:rPr>
          <w:color w:val="000000" w:themeColor="text1"/>
        </w:rPr>
        <w:t>3</w:t>
      </w:r>
      <w:r w:rsidR="198A3CF6" w:rsidRPr="007A3D69">
        <w:rPr>
          <w:color w:val="000000" w:themeColor="text1"/>
        </w:rPr>
        <w:t>.20%</w:t>
      </w:r>
      <w:r w:rsidR="270DF72B" w:rsidRPr="007A3D69">
        <w:rPr>
          <w:color w:val="000000" w:themeColor="text1"/>
        </w:rPr>
        <w:t xml:space="preserve"> for development company loans</w:t>
      </w:r>
      <w:r w:rsidR="43CEEF05" w:rsidRPr="007A3D69">
        <w:rPr>
          <w:color w:val="000000" w:themeColor="text1"/>
        </w:rPr>
        <w:t xml:space="preserve">. In </w:t>
      </w:r>
      <w:r w:rsidR="63974093" w:rsidRPr="007A3D69">
        <w:rPr>
          <w:color w:val="000000" w:themeColor="text1"/>
        </w:rPr>
        <w:t>2024/25</w:t>
      </w:r>
      <w:r w:rsidR="43CEEF05" w:rsidRPr="007A3D69">
        <w:rPr>
          <w:color w:val="000000" w:themeColor="text1"/>
        </w:rPr>
        <w:t xml:space="preserve"> Council agreed to purchase all properties held within OCH(I)L and transfer them to its housing revenue account. </w:t>
      </w:r>
      <w:r w:rsidR="2A2EC726" w:rsidRPr="007A3D69">
        <w:rPr>
          <w:color w:val="000000" w:themeColor="text1"/>
        </w:rPr>
        <w:t xml:space="preserve">All loans within the company </w:t>
      </w:r>
      <w:r w:rsidR="58763973" w:rsidRPr="007A3D69">
        <w:rPr>
          <w:color w:val="000000" w:themeColor="text1"/>
        </w:rPr>
        <w:t>have</w:t>
      </w:r>
      <w:r w:rsidR="2A2EC726" w:rsidRPr="007A3D69">
        <w:rPr>
          <w:color w:val="000000" w:themeColor="text1"/>
        </w:rPr>
        <w:t xml:space="preserve"> now been repaid to the Council and no further loans are assumed to be </w:t>
      </w:r>
      <w:r w:rsidR="44F5DD26" w:rsidRPr="007A3D69">
        <w:rPr>
          <w:color w:val="000000" w:themeColor="text1"/>
        </w:rPr>
        <w:t>advanced</w:t>
      </w:r>
      <w:r w:rsidR="2A2EC726" w:rsidRPr="007A3D69">
        <w:rPr>
          <w:color w:val="000000" w:themeColor="text1"/>
        </w:rPr>
        <w:t xml:space="preserve"> to OCH(I)L</w:t>
      </w:r>
      <w:r w:rsidR="00985025" w:rsidRPr="007A3D69">
        <w:rPr>
          <w:color w:val="000000" w:themeColor="text1"/>
        </w:rPr>
        <w:t>.</w:t>
      </w:r>
      <w:r w:rsidR="2A2EC726" w:rsidRPr="007A3D69">
        <w:rPr>
          <w:color w:val="000000" w:themeColor="text1"/>
        </w:rPr>
        <w:t xml:space="preserve"> </w:t>
      </w:r>
      <w:r w:rsidR="04413C44" w:rsidRPr="007A3D69">
        <w:rPr>
          <w:color w:val="000000" w:themeColor="text1"/>
        </w:rPr>
        <w:t>In addition to interest returns the company makes dividend returns to the council which are estimated at around £</w:t>
      </w:r>
      <w:r w:rsidR="007A3D69" w:rsidRPr="007A3D69">
        <w:rPr>
          <w:color w:val="000000" w:themeColor="text1"/>
        </w:rPr>
        <w:t>3</w:t>
      </w:r>
      <w:r w:rsidR="21CB9DC8" w:rsidRPr="007A3D69">
        <w:rPr>
          <w:color w:val="000000" w:themeColor="text1"/>
        </w:rPr>
        <w:t xml:space="preserve"> </w:t>
      </w:r>
      <w:r w:rsidR="04413C44" w:rsidRPr="007A3D69">
        <w:rPr>
          <w:color w:val="000000" w:themeColor="text1"/>
        </w:rPr>
        <w:t xml:space="preserve">million </w:t>
      </w:r>
      <w:r w:rsidR="007F25D4">
        <w:rPr>
          <w:color w:val="000000" w:themeColor="text1"/>
        </w:rPr>
        <w:t xml:space="preserve">in 2027-28 after which none further are forecast. </w:t>
      </w:r>
      <w:r w:rsidR="007A3D69">
        <w:rPr>
          <w:color w:val="000000" w:themeColor="text1"/>
        </w:rPr>
        <w:t xml:space="preserve">The company have recently employed consultants to look at the future of the company and together with </w:t>
      </w:r>
      <w:r w:rsidR="00D5059D">
        <w:rPr>
          <w:color w:val="000000" w:themeColor="text1"/>
        </w:rPr>
        <w:t xml:space="preserve">changes to the procurement of schemes in the back end of the development programme it is anticipated that going forward the company can still continue to meet its key objectives of delivering new housing and dividends back to the shareholder </w:t>
      </w:r>
    </w:p>
    <w:p w14:paraId="37338725" w14:textId="3C64140A" w:rsidR="00382904" w:rsidRPr="003F4AC6" w:rsidRDefault="00382904" w:rsidP="00E801E2">
      <w:pPr>
        <w:pStyle w:val="ReportNumbering"/>
        <w:rPr>
          <w:rFonts w:cs="Arial"/>
        </w:rPr>
      </w:pPr>
      <w:r w:rsidRPr="00135C22">
        <w:rPr>
          <w:rFonts w:cs="Arial"/>
          <w:b/>
        </w:rPr>
        <w:lastRenderedPageBreak/>
        <w:t>Inflation</w:t>
      </w:r>
      <w:r w:rsidRPr="00135C22">
        <w:rPr>
          <w:rFonts w:cs="Arial"/>
        </w:rPr>
        <w:t xml:space="preserve"> –Most budgets are cash limi</w:t>
      </w:r>
      <w:r w:rsidR="00603CCF" w:rsidRPr="00135C22">
        <w:rPr>
          <w:rFonts w:cs="Arial"/>
        </w:rPr>
        <w:t xml:space="preserve">ted. </w:t>
      </w:r>
      <w:r w:rsidR="00A94804" w:rsidRPr="00135C22">
        <w:rPr>
          <w:rFonts w:cs="Arial"/>
        </w:rPr>
        <w:t xml:space="preserve"> The most significant impact is on materials purchased by Oxford Direct Services in respect of repairs and maintenanc</w:t>
      </w:r>
      <w:r w:rsidR="00962190" w:rsidRPr="00135C22">
        <w:rPr>
          <w:rFonts w:cs="Arial"/>
        </w:rPr>
        <w:t xml:space="preserve">e and the </w:t>
      </w:r>
      <w:r w:rsidR="00962190" w:rsidRPr="003F4AC6">
        <w:rPr>
          <w:rFonts w:cs="Arial"/>
        </w:rPr>
        <w:t>council</w:t>
      </w:r>
      <w:r w:rsidR="00FD5271" w:rsidRPr="003F4AC6">
        <w:rPr>
          <w:rFonts w:cs="Arial"/>
        </w:rPr>
        <w:t>’</w:t>
      </w:r>
      <w:r w:rsidR="00962190" w:rsidRPr="003F4AC6">
        <w:rPr>
          <w:rFonts w:cs="Arial"/>
        </w:rPr>
        <w:t>s capital programme</w:t>
      </w:r>
      <w:r w:rsidR="00146B05" w:rsidRPr="003F4AC6">
        <w:rPr>
          <w:rFonts w:cs="Arial"/>
        </w:rPr>
        <w:t xml:space="preserve">, for which </w:t>
      </w:r>
      <w:r w:rsidR="004D515A" w:rsidRPr="003F4AC6">
        <w:rPr>
          <w:rFonts w:cs="Arial"/>
        </w:rPr>
        <w:t xml:space="preserve">some </w:t>
      </w:r>
      <w:r w:rsidR="00146B05" w:rsidRPr="003F4AC6">
        <w:rPr>
          <w:rFonts w:cs="Arial"/>
        </w:rPr>
        <w:t>budgetary provision has been made</w:t>
      </w:r>
      <w:r w:rsidR="79DBB8F9" w:rsidRPr="003F4AC6">
        <w:rPr>
          <w:rFonts w:cs="Arial"/>
        </w:rPr>
        <w:t xml:space="preserve">. </w:t>
      </w:r>
    </w:p>
    <w:p w14:paraId="4ED46929" w14:textId="1300A509" w:rsidR="00382904" w:rsidRPr="003F4AC6" w:rsidRDefault="00382904" w:rsidP="00E801E2">
      <w:pPr>
        <w:pStyle w:val="ReportNumbering"/>
        <w:rPr>
          <w:rFonts w:cs="Arial"/>
        </w:rPr>
      </w:pPr>
      <w:r w:rsidRPr="003F4AC6">
        <w:rPr>
          <w:rFonts w:cs="Arial"/>
          <w:b/>
        </w:rPr>
        <w:t>Pay Assumptions</w:t>
      </w:r>
      <w:r w:rsidRPr="003F4AC6">
        <w:rPr>
          <w:rFonts w:cs="Arial"/>
        </w:rPr>
        <w:t xml:space="preserve"> – </w:t>
      </w:r>
      <w:r w:rsidR="00A41B67" w:rsidRPr="003F4AC6">
        <w:rPr>
          <w:rFonts w:cs="Arial"/>
        </w:rPr>
        <w:t>The two year pay deal agreed by the Council and unions in 2022 expires on 1</w:t>
      </w:r>
      <w:r w:rsidR="00792100" w:rsidRPr="003F4AC6">
        <w:rPr>
          <w:rFonts w:cs="Arial"/>
          <w:vertAlign w:val="superscript"/>
        </w:rPr>
        <w:t>st</w:t>
      </w:r>
      <w:r w:rsidR="00A41B67" w:rsidRPr="003F4AC6">
        <w:rPr>
          <w:rFonts w:cs="Arial"/>
          <w:vertAlign w:val="superscript"/>
        </w:rPr>
        <w:t xml:space="preserve"> </w:t>
      </w:r>
      <w:r w:rsidR="00A41B67" w:rsidRPr="003F4AC6">
        <w:rPr>
          <w:rFonts w:cs="Arial"/>
        </w:rPr>
        <w:t>April 202</w:t>
      </w:r>
      <w:r w:rsidR="4CED0642" w:rsidRPr="003F4AC6">
        <w:rPr>
          <w:rFonts w:cs="Arial"/>
        </w:rPr>
        <w:t xml:space="preserve">6. For 2025-26 pay increases were agreed at 3% </w:t>
      </w:r>
      <w:r w:rsidR="4BD25315" w:rsidRPr="003F4AC6">
        <w:rPr>
          <w:rFonts w:cs="Arial"/>
        </w:rPr>
        <w:t>following</w:t>
      </w:r>
      <w:r w:rsidR="4CED0642" w:rsidRPr="003F4AC6">
        <w:rPr>
          <w:rFonts w:cs="Arial"/>
        </w:rPr>
        <w:t xml:space="preserve"> 6.5% agreed for 2024-25. Inflationary increases have </w:t>
      </w:r>
      <w:r w:rsidR="2DEE4077" w:rsidRPr="003F4AC6">
        <w:rPr>
          <w:rFonts w:cs="Arial"/>
        </w:rPr>
        <w:t>been assumed for the later year</w:t>
      </w:r>
      <w:r w:rsidR="00687451" w:rsidRPr="003F4AC6">
        <w:rPr>
          <w:rFonts w:cs="Arial"/>
        </w:rPr>
        <w:t>s</w:t>
      </w:r>
      <w:r w:rsidR="2DEE4077" w:rsidRPr="003F4AC6">
        <w:rPr>
          <w:rFonts w:cs="Arial"/>
        </w:rPr>
        <w:t xml:space="preserve"> of the MTF</w:t>
      </w:r>
      <w:r w:rsidR="465B0D4E" w:rsidRPr="003F4AC6">
        <w:rPr>
          <w:rFonts w:cs="Arial"/>
        </w:rPr>
        <w:t>S</w:t>
      </w:r>
      <w:r w:rsidR="00E81EF3" w:rsidRPr="003F4AC6">
        <w:rPr>
          <w:rFonts w:cs="Arial"/>
        </w:rPr>
        <w:t xml:space="preserve"> and discussions are currently underway with the unions</w:t>
      </w:r>
      <w:r w:rsidR="003F4AC6" w:rsidRPr="003F4AC6">
        <w:rPr>
          <w:rFonts w:cs="Arial"/>
        </w:rPr>
        <w:t xml:space="preserve"> to agree the uplift from 1-4-2026.</w:t>
      </w:r>
    </w:p>
    <w:p w14:paraId="0A11E9BF" w14:textId="2032D56B" w:rsidR="00382904" w:rsidRPr="00423458" w:rsidRDefault="2DF77102" w:rsidP="00E801E2">
      <w:pPr>
        <w:pStyle w:val="ReportNumbering"/>
      </w:pPr>
      <w:r w:rsidRPr="003F4AC6">
        <w:rPr>
          <w:b/>
          <w:bCs/>
        </w:rPr>
        <w:t>Capital Financing</w:t>
      </w:r>
      <w:r w:rsidRPr="003F4AC6">
        <w:t xml:space="preserve"> - Capital financing for the draft Capital Programme is detailed in Section D. </w:t>
      </w:r>
      <w:r w:rsidR="4FFF3742" w:rsidRPr="003F4AC6">
        <w:t xml:space="preserve">Given the budgetary pressures experienced from the Council no revenue contributions have been assumed to finance capital which is largely funded by </w:t>
      </w:r>
      <w:r w:rsidR="4FFF3742" w:rsidRPr="00423458">
        <w:t>borrowing, the revenue implications of which have been</w:t>
      </w:r>
      <w:r w:rsidR="11227107" w:rsidRPr="00423458">
        <w:t xml:space="preserve"> included within the MTFS</w:t>
      </w:r>
      <w:r w:rsidR="20C9C584" w:rsidRPr="00423458">
        <w:t>.</w:t>
      </w:r>
      <w:r w:rsidR="4FFF3742" w:rsidRPr="00423458">
        <w:t xml:space="preserve"> </w:t>
      </w:r>
    </w:p>
    <w:p w14:paraId="587256A0" w14:textId="7D5C46F1" w:rsidR="004217F0" w:rsidRPr="00B94456" w:rsidRDefault="004217F0" w:rsidP="00E801E2">
      <w:pPr>
        <w:pStyle w:val="ReportNumbering"/>
      </w:pPr>
      <w:r w:rsidRPr="00423458">
        <w:rPr>
          <w:b/>
          <w:bCs/>
        </w:rPr>
        <w:t>Neighbourhood Community Infrastructure Levy (NCIL)</w:t>
      </w:r>
      <w:r w:rsidRPr="00423458">
        <w:t xml:space="preserve"> </w:t>
      </w:r>
      <w:r w:rsidR="004B38E1" w:rsidRPr="00423458">
        <w:t>- In</w:t>
      </w:r>
      <w:r w:rsidRPr="00423458">
        <w:t xml:space="preserve"> line with CIL regulations 15% of CIL received in unparished areas of the city, which do not have an adopted neighbourhood plan, are retained by the city council for allocation. This money is for the provision, improvement, replacement, operation or maintenance of infrastructure; or anything else that is concerned with addressing the demands that development places on an area. The City Council </w:t>
      </w:r>
      <w:r w:rsidR="005D63FD" w:rsidRPr="00423458">
        <w:t xml:space="preserve">plans to use </w:t>
      </w:r>
      <w:r w:rsidR="47FD2814" w:rsidRPr="00423458">
        <w:t>£200K of thi</w:t>
      </w:r>
      <w:r w:rsidR="005D63FD" w:rsidRPr="00423458">
        <w:t xml:space="preserve">s NCIL to </w:t>
      </w:r>
      <w:r w:rsidR="5912C87B" w:rsidRPr="00423458">
        <w:t>fund voluntary sector grants</w:t>
      </w:r>
      <w:r w:rsidR="003643B6" w:rsidRPr="00423458">
        <w:t xml:space="preserve"> and </w:t>
      </w:r>
      <w:r w:rsidR="00423458" w:rsidRPr="00423458">
        <w:t xml:space="preserve">£80k </w:t>
      </w:r>
      <w:r w:rsidR="003643B6" w:rsidRPr="00423458">
        <w:t>ward member budgets</w:t>
      </w:r>
      <w:r w:rsidR="00687451" w:rsidRPr="00423458">
        <w:t xml:space="preserve">, which are of benefit to </w:t>
      </w:r>
      <w:r w:rsidR="00687451" w:rsidRPr="00B94456">
        <w:t>neighbourhoods throughout the City</w:t>
      </w:r>
      <w:r w:rsidR="5912C87B" w:rsidRPr="00B94456">
        <w:t xml:space="preserve">. </w:t>
      </w:r>
    </w:p>
    <w:p w14:paraId="372287E4" w14:textId="5743E19F" w:rsidR="00CA6784" w:rsidRPr="00B94456" w:rsidRDefault="004C7192" w:rsidP="00844457">
      <w:pPr>
        <w:ind w:left="567" w:right="386" w:hanging="567"/>
        <w:rPr>
          <w:rFonts w:cs="Arial"/>
          <w:b/>
        </w:rPr>
      </w:pPr>
      <w:r w:rsidRPr="00B94456">
        <w:rPr>
          <w:rFonts w:cs="Arial"/>
          <w:b/>
        </w:rPr>
        <w:t>Efficiencies</w:t>
      </w:r>
      <w:r w:rsidR="00792100" w:rsidRPr="00B94456">
        <w:rPr>
          <w:rFonts w:cs="Arial"/>
          <w:b/>
        </w:rPr>
        <w:t xml:space="preserve"> </w:t>
      </w:r>
    </w:p>
    <w:p w14:paraId="74581EC9" w14:textId="457388AD" w:rsidR="005F15AB" w:rsidRPr="00B94456" w:rsidRDefault="004F54D1" w:rsidP="00E801E2">
      <w:pPr>
        <w:pStyle w:val="ReportNumbering"/>
        <w:rPr>
          <w:rFonts w:cs="Arial"/>
        </w:rPr>
      </w:pPr>
      <w:r w:rsidRPr="00B94456">
        <w:rPr>
          <w:rFonts w:cs="Arial"/>
        </w:rPr>
        <w:t xml:space="preserve">Additional </w:t>
      </w:r>
      <w:r w:rsidR="00B976BC" w:rsidRPr="00B94456">
        <w:rPr>
          <w:rFonts w:cs="Arial"/>
        </w:rPr>
        <w:t>Efficiencies</w:t>
      </w:r>
      <w:r w:rsidR="005F15AB" w:rsidRPr="00B94456">
        <w:rPr>
          <w:rFonts w:cs="Arial"/>
        </w:rPr>
        <w:t xml:space="preserve"> totalling </w:t>
      </w:r>
      <w:r w:rsidR="00315255" w:rsidRPr="00B94456">
        <w:rPr>
          <w:rFonts w:cs="Arial"/>
        </w:rPr>
        <w:t>£</w:t>
      </w:r>
      <w:r w:rsidR="00B94456" w:rsidRPr="00B94456">
        <w:rPr>
          <w:rFonts w:cs="Arial"/>
        </w:rPr>
        <w:t>2.1</w:t>
      </w:r>
      <w:r w:rsidR="00315255" w:rsidRPr="00B94456">
        <w:rPr>
          <w:rFonts w:cs="Arial"/>
        </w:rPr>
        <w:t xml:space="preserve"> million</w:t>
      </w:r>
      <w:r w:rsidR="005F15AB" w:rsidRPr="00B94456">
        <w:rPr>
          <w:rFonts w:cs="Arial"/>
        </w:rPr>
        <w:t xml:space="preserve"> are estimated </w:t>
      </w:r>
      <w:r w:rsidR="00EF73F6" w:rsidRPr="00B94456">
        <w:rPr>
          <w:rFonts w:cs="Arial"/>
        </w:rPr>
        <w:t>from 202</w:t>
      </w:r>
      <w:r w:rsidR="00B94456" w:rsidRPr="00B94456">
        <w:rPr>
          <w:rFonts w:cs="Arial"/>
        </w:rPr>
        <w:t>9</w:t>
      </w:r>
      <w:r w:rsidR="00844457" w:rsidRPr="00B94456">
        <w:rPr>
          <w:rFonts w:cs="Arial"/>
        </w:rPr>
        <w:t>-</w:t>
      </w:r>
      <w:r w:rsidR="00B94456" w:rsidRPr="00B94456">
        <w:rPr>
          <w:rFonts w:cs="Arial"/>
        </w:rPr>
        <w:t>30</w:t>
      </w:r>
      <w:r w:rsidR="00EF73F6" w:rsidRPr="00B94456">
        <w:rPr>
          <w:rFonts w:cs="Arial"/>
        </w:rPr>
        <w:t xml:space="preserve"> </w:t>
      </w:r>
      <w:r w:rsidR="004D4ECF" w:rsidRPr="00B94456">
        <w:rPr>
          <w:rFonts w:cs="Arial"/>
        </w:rPr>
        <w:t>as shown in Appendix 3</w:t>
      </w:r>
      <w:r w:rsidR="00792100" w:rsidRPr="00B94456">
        <w:rPr>
          <w:rFonts w:cs="Arial"/>
        </w:rPr>
        <w:t xml:space="preserve">.  There are several new efficiencies </w:t>
      </w:r>
      <w:r w:rsidR="00E10AB6" w:rsidRPr="00B94456">
        <w:rPr>
          <w:rFonts w:cs="Arial"/>
        </w:rPr>
        <w:t>i</w:t>
      </w:r>
      <w:r w:rsidR="00792100" w:rsidRPr="00B94456">
        <w:rPr>
          <w:rFonts w:cs="Arial"/>
        </w:rPr>
        <w:t>dentified</w:t>
      </w:r>
      <w:r w:rsidR="004D4ECF" w:rsidRPr="00B94456">
        <w:rPr>
          <w:rFonts w:cs="Arial"/>
        </w:rPr>
        <w:t xml:space="preserve"> </w:t>
      </w:r>
      <w:r w:rsidR="13A94275" w:rsidRPr="00B94456">
        <w:rPr>
          <w:rFonts w:cs="Arial"/>
        </w:rPr>
        <w:t>including:</w:t>
      </w:r>
    </w:p>
    <w:p w14:paraId="27452930" w14:textId="796EFD55" w:rsidR="00454091" w:rsidRPr="00D33A20" w:rsidRDefault="00454091" w:rsidP="07CBB4C4">
      <w:pPr>
        <w:pStyle w:val="ListParagraph"/>
        <w:ind w:left="709" w:right="386"/>
        <w:rPr>
          <w:rFonts w:cs="Arial"/>
          <w:b/>
          <w:bCs/>
        </w:rPr>
      </w:pPr>
      <w:r w:rsidRPr="00B94456">
        <w:rPr>
          <w:rFonts w:cs="Arial"/>
          <w:b/>
          <w:bCs/>
        </w:rPr>
        <w:t>Ongoing</w:t>
      </w:r>
      <w:r w:rsidR="00622FC7" w:rsidRPr="00B94456">
        <w:rPr>
          <w:rFonts w:cs="Arial"/>
          <w:b/>
          <w:bCs/>
        </w:rPr>
        <w:t xml:space="preserve"> efficiencies</w:t>
      </w:r>
    </w:p>
    <w:p w14:paraId="2349CD36" w14:textId="77777777" w:rsidR="00B80EBF" w:rsidRPr="00B53E0B" w:rsidRDefault="00B80EBF" w:rsidP="000511A0">
      <w:pPr>
        <w:tabs>
          <w:tab w:val="left" w:pos="709"/>
        </w:tabs>
        <w:ind w:left="567" w:right="386" w:hanging="567"/>
        <w:rPr>
          <w:rFonts w:cs="Arial"/>
          <w:b/>
        </w:rPr>
      </w:pPr>
    </w:p>
    <w:p w14:paraId="45A377FA" w14:textId="380BFE02" w:rsidR="009B79BA" w:rsidRPr="00B53E0B" w:rsidRDefault="008D60BF" w:rsidP="00712800">
      <w:pPr>
        <w:pStyle w:val="ListParagraph"/>
        <w:numPr>
          <w:ilvl w:val="0"/>
          <w:numId w:val="10"/>
        </w:numPr>
        <w:ind w:right="386"/>
        <w:rPr>
          <w:rFonts w:cs="Arial"/>
        </w:rPr>
      </w:pPr>
      <w:r w:rsidRPr="00D33A20">
        <w:rPr>
          <w:rFonts w:cs="Arial"/>
          <w:b/>
          <w:bCs/>
        </w:rPr>
        <w:t>Savings in in-house ICT</w:t>
      </w:r>
      <w:r w:rsidRPr="00B53E0B">
        <w:rPr>
          <w:rFonts w:cs="Arial"/>
        </w:rPr>
        <w:t xml:space="preserve"> support arising from movement to </w:t>
      </w:r>
      <w:r w:rsidR="00D33A20" w:rsidRPr="00B53E0B">
        <w:rPr>
          <w:rFonts w:cs="Arial"/>
        </w:rPr>
        <w:t>cloud</w:t>
      </w:r>
      <w:r w:rsidRPr="00B53E0B">
        <w:rPr>
          <w:rFonts w:cs="Arial"/>
        </w:rPr>
        <w:t xml:space="preserve"> based technology</w:t>
      </w:r>
      <w:r w:rsidR="00E42092" w:rsidRPr="00B53E0B">
        <w:rPr>
          <w:rFonts w:cs="Arial"/>
        </w:rPr>
        <w:t xml:space="preserve"> -£287k per annum</w:t>
      </w:r>
    </w:p>
    <w:p w14:paraId="535E896B" w14:textId="16F9545C" w:rsidR="00E42092" w:rsidRPr="00B53E0B" w:rsidRDefault="00E42092" w:rsidP="00712800">
      <w:pPr>
        <w:pStyle w:val="ListParagraph"/>
        <w:numPr>
          <w:ilvl w:val="0"/>
          <w:numId w:val="10"/>
        </w:numPr>
        <w:ind w:right="386"/>
        <w:rPr>
          <w:rFonts w:cs="Arial"/>
        </w:rPr>
      </w:pPr>
      <w:r w:rsidRPr="00D33A20">
        <w:rPr>
          <w:rFonts w:cs="Arial"/>
          <w:b/>
          <w:bCs/>
        </w:rPr>
        <w:t>Lower Azure</w:t>
      </w:r>
      <w:r w:rsidRPr="00B53E0B">
        <w:rPr>
          <w:rFonts w:cs="Arial"/>
        </w:rPr>
        <w:t xml:space="preserve"> based storage costs - £50k per annum</w:t>
      </w:r>
    </w:p>
    <w:p w14:paraId="2B98823F" w14:textId="1B96F8B3" w:rsidR="00E42092" w:rsidRDefault="00B53E0B" w:rsidP="00712800">
      <w:pPr>
        <w:pStyle w:val="ListParagraph"/>
        <w:numPr>
          <w:ilvl w:val="0"/>
          <w:numId w:val="10"/>
        </w:numPr>
        <w:ind w:right="386"/>
        <w:rPr>
          <w:rFonts w:cs="Arial"/>
        </w:rPr>
      </w:pPr>
      <w:r w:rsidRPr="00B53E0B">
        <w:rPr>
          <w:rFonts w:cs="Arial"/>
        </w:rPr>
        <w:t xml:space="preserve">Reduced replacement of </w:t>
      </w:r>
      <w:r w:rsidRPr="00D33A20">
        <w:rPr>
          <w:rFonts w:cs="Arial"/>
          <w:b/>
          <w:bCs/>
        </w:rPr>
        <w:t>mobile phones</w:t>
      </w:r>
      <w:r w:rsidRPr="00B53E0B">
        <w:rPr>
          <w:rFonts w:cs="Arial"/>
        </w:rPr>
        <w:t xml:space="preserve"> - £50k per annum</w:t>
      </w:r>
    </w:p>
    <w:p w14:paraId="5A441BF0" w14:textId="7DFE7494" w:rsidR="00244DC9" w:rsidRDefault="00244DC9" w:rsidP="00712800">
      <w:pPr>
        <w:pStyle w:val="ListParagraph"/>
        <w:numPr>
          <w:ilvl w:val="0"/>
          <w:numId w:val="10"/>
        </w:numPr>
        <w:ind w:right="386"/>
        <w:rPr>
          <w:rFonts w:cs="Arial"/>
        </w:rPr>
      </w:pPr>
      <w:r w:rsidRPr="00D33A20">
        <w:rPr>
          <w:rFonts w:cs="Arial"/>
          <w:b/>
          <w:bCs/>
        </w:rPr>
        <w:t>Customer Experience Programme savings</w:t>
      </w:r>
      <w:r>
        <w:rPr>
          <w:rFonts w:cs="Arial"/>
        </w:rPr>
        <w:t xml:space="preserve"> – £200k per annum</w:t>
      </w:r>
      <w:r w:rsidR="00582F2E">
        <w:rPr>
          <w:rFonts w:cs="Arial"/>
        </w:rPr>
        <w:t>- savings from the use of AI, robotic</w:t>
      </w:r>
      <w:r w:rsidR="008C48D3">
        <w:rPr>
          <w:rFonts w:cs="Arial"/>
        </w:rPr>
        <w:t xml:space="preserve"> process automation, </w:t>
      </w:r>
      <w:r w:rsidR="003B058F">
        <w:rPr>
          <w:rFonts w:cs="Arial"/>
        </w:rPr>
        <w:t>implementation</w:t>
      </w:r>
      <w:r w:rsidR="008C48D3">
        <w:rPr>
          <w:rFonts w:cs="Arial"/>
        </w:rPr>
        <w:t xml:space="preserve"> of w</w:t>
      </w:r>
      <w:r w:rsidR="003B058F">
        <w:rPr>
          <w:rFonts w:cs="Arial"/>
        </w:rPr>
        <w:t>e</w:t>
      </w:r>
      <w:r w:rsidR="008C48D3">
        <w:rPr>
          <w:rFonts w:cs="Arial"/>
        </w:rPr>
        <w:t>b forms</w:t>
      </w:r>
    </w:p>
    <w:p w14:paraId="5B862B3C" w14:textId="0F18FCE9" w:rsidR="00943754" w:rsidRDefault="00943754" w:rsidP="00712800">
      <w:pPr>
        <w:pStyle w:val="ListParagraph"/>
        <w:numPr>
          <w:ilvl w:val="0"/>
          <w:numId w:val="10"/>
        </w:numPr>
        <w:ind w:right="386"/>
        <w:rPr>
          <w:rFonts w:cs="Arial"/>
        </w:rPr>
      </w:pPr>
      <w:r>
        <w:rPr>
          <w:rFonts w:cs="Arial"/>
          <w:b/>
          <w:bCs/>
        </w:rPr>
        <w:t xml:space="preserve">Town Hall </w:t>
      </w:r>
      <w:r>
        <w:rPr>
          <w:rFonts w:cs="Arial"/>
        </w:rPr>
        <w:t xml:space="preserve">– £25k </w:t>
      </w:r>
      <w:r w:rsidR="00D64811">
        <w:rPr>
          <w:rFonts w:cs="Arial"/>
        </w:rPr>
        <w:t>per annum -</w:t>
      </w:r>
      <w:r>
        <w:rPr>
          <w:rFonts w:cs="Arial"/>
        </w:rPr>
        <w:t>review of delivery costs from 2028-29 onwards</w:t>
      </w:r>
    </w:p>
    <w:p w14:paraId="3E843C12" w14:textId="0AE76D3C" w:rsidR="009C61CA" w:rsidRDefault="00DF21BC" w:rsidP="00712800">
      <w:pPr>
        <w:pStyle w:val="ListParagraph"/>
        <w:numPr>
          <w:ilvl w:val="0"/>
          <w:numId w:val="10"/>
        </w:numPr>
        <w:ind w:right="386"/>
        <w:rPr>
          <w:rFonts w:cs="Arial"/>
        </w:rPr>
      </w:pPr>
      <w:r w:rsidRPr="00D33A20">
        <w:rPr>
          <w:rFonts w:cs="Arial"/>
          <w:b/>
          <w:bCs/>
        </w:rPr>
        <w:t>Rationalization</w:t>
      </w:r>
      <w:r w:rsidR="009C61CA" w:rsidRPr="00D33A20">
        <w:rPr>
          <w:rFonts w:cs="Arial"/>
          <w:b/>
          <w:bCs/>
        </w:rPr>
        <w:t xml:space="preserve"> of incomes team</w:t>
      </w:r>
      <w:r w:rsidR="009C61CA">
        <w:rPr>
          <w:rFonts w:cs="Arial"/>
        </w:rPr>
        <w:t xml:space="preserve"> - </w:t>
      </w:r>
      <w:r>
        <w:rPr>
          <w:rFonts w:cs="Arial"/>
        </w:rPr>
        <w:t xml:space="preserve">£50k per annum- following </w:t>
      </w:r>
      <w:r w:rsidR="00F6019E">
        <w:rPr>
          <w:rFonts w:cs="Arial"/>
        </w:rPr>
        <w:t>a member of staff leaving the service an opportunity has been taken to rationalise the service</w:t>
      </w:r>
    </w:p>
    <w:p w14:paraId="6240E9E5" w14:textId="3C8B3E04" w:rsidR="00185885" w:rsidRDefault="00185885" w:rsidP="00712800">
      <w:pPr>
        <w:pStyle w:val="NoSpacing"/>
        <w:numPr>
          <w:ilvl w:val="0"/>
          <w:numId w:val="10"/>
        </w:numPr>
        <w:jc w:val="both"/>
        <w:rPr>
          <w:rFonts w:ascii="Arial" w:hAnsi="Arial" w:cs="Arial"/>
          <w:sz w:val="24"/>
          <w:szCs w:val="24"/>
        </w:rPr>
      </w:pPr>
      <w:r w:rsidRPr="00185885">
        <w:rPr>
          <w:rFonts w:ascii="Arial" w:hAnsi="Arial" w:cs="Arial"/>
          <w:b/>
          <w:bCs/>
          <w:sz w:val="24"/>
          <w:szCs w:val="24"/>
        </w:rPr>
        <w:t>Council tax reduction scheme CTRS</w:t>
      </w:r>
      <w:r w:rsidRPr="00185885">
        <w:rPr>
          <w:rFonts w:ascii="Arial" w:hAnsi="Arial" w:cs="Arial"/>
          <w:sz w:val="24"/>
          <w:szCs w:val="24"/>
        </w:rPr>
        <w:t xml:space="preserve">. In 2024-25 the Council made changes to its CTRS scheme to address anomalies in the treatment of universal credit income considered in the calculation of the Council Tax reduction. To ease the burden at the same times the council changed the income bandings used for the calculation of the discount on the proviso that increased the bandings in future years. Banding changes as indicated below are estimated to produce another £510k per annum of council tax income with the </w:t>
      </w:r>
      <w:r w:rsidR="00B1497F">
        <w:rPr>
          <w:rFonts w:ascii="Arial" w:hAnsi="Arial" w:cs="Arial"/>
          <w:sz w:val="24"/>
          <w:szCs w:val="24"/>
        </w:rPr>
        <w:t>City Council’s</w:t>
      </w:r>
      <w:r w:rsidR="00B1497F" w:rsidRPr="00185885">
        <w:rPr>
          <w:rFonts w:ascii="Arial" w:hAnsi="Arial" w:cs="Arial"/>
          <w:sz w:val="24"/>
          <w:szCs w:val="24"/>
        </w:rPr>
        <w:t xml:space="preserve"> </w:t>
      </w:r>
      <w:r w:rsidRPr="00185885">
        <w:rPr>
          <w:rFonts w:ascii="Arial" w:hAnsi="Arial" w:cs="Arial"/>
          <w:sz w:val="24"/>
          <w:szCs w:val="24"/>
        </w:rPr>
        <w:t>estimated increase being approximately £75k per annum.</w:t>
      </w:r>
    </w:p>
    <w:p w14:paraId="4811AB23" w14:textId="77777777" w:rsidR="00712800" w:rsidRDefault="00712800" w:rsidP="00712800">
      <w:pPr>
        <w:pStyle w:val="NoSpacing"/>
        <w:ind w:left="1080"/>
        <w:jc w:val="both"/>
        <w:rPr>
          <w:rFonts w:ascii="Arial" w:hAnsi="Arial" w:cs="Arial"/>
          <w:b/>
          <w:bCs/>
          <w:sz w:val="24"/>
          <w:szCs w:val="24"/>
        </w:rPr>
      </w:pPr>
    </w:p>
    <w:p w14:paraId="2C3FE4C7" w14:textId="19CDDADA" w:rsidR="001F3C35" w:rsidRDefault="001F3C35" w:rsidP="001F3C35">
      <w:pPr>
        <w:pStyle w:val="NoSpacing"/>
        <w:jc w:val="both"/>
        <w:rPr>
          <w:rFonts w:ascii="Arial" w:hAnsi="Arial" w:cs="Arial"/>
          <w:sz w:val="24"/>
          <w:szCs w:val="24"/>
        </w:rPr>
      </w:pPr>
      <w:r>
        <w:rPr>
          <w:rFonts w:ascii="Arial" w:hAnsi="Arial" w:cs="Arial"/>
          <w:b/>
          <w:bCs/>
          <w:sz w:val="24"/>
          <w:szCs w:val="24"/>
        </w:rPr>
        <w:t xml:space="preserve">Table </w:t>
      </w:r>
      <w:r w:rsidR="009004FF">
        <w:rPr>
          <w:rFonts w:ascii="Arial" w:hAnsi="Arial" w:cs="Arial"/>
          <w:b/>
          <w:bCs/>
          <w:sz w:val="24"/>
          <w:szCs w:val="24"/>
        </w:rPr>
        <w:t>4</w:t>
      </w:r>
      <w:r>
        <w:rPr>
          <w:rFonts w:ascii="Arial" w:hAnsi="Arial" w:cs="Arial"/>
          <w:b/>
          <w:bCs/>
          <w:sz w:val="24"/>
          <w:szCs w:val="24"/>
        </w:rPr>
        <w:t xml:space="preserve"> : Impact of Council Tax Reduction </w:t>
      </w:r>
      <w:r w:rsidR="00C31A2D">
        <w:rPr>
          <w:rFonts w:ascii="Arial" w:hAnsi="Arial" w:cs="Arial"/>
          <w:b/>
          <w:bCs/>
          <w:sz w:val="24"/>
          <w:szCs w:val="24"/>
        </w:rPr>
        <w:t>changes</w:t>
      </w:r>
    </w:p>
    <w:p w14:paraId="7566D35A" w14:textId="77777777" w:rsidR="00207573" w:rsidRDefault="00207573" w:rsidP="00207573">
      <w:pPr>
        <w:pStyle w:val="NoSpacing"/>
        <w:jc w:val="both"/>
        <w:rPr>
          <w:rFonts w:ascii="Arial" w:hAnsi="Arial" w:cs="Arial"/>
          <w:b/>
          <w:bCs/>
          <w:sz w:val="24"/>
          <w:szCs w:val="24"/>
        </w:rPr>
      </w:pPr>
    </w:p>
    <w:p w14:paraId="6BA68631" w14:textId="2115CAE5" w:rsidR="00207573" w:rsidRPr="00CB1E54" w:rsidRDefault="00207573" w:rsidP="00207573">
      <w:pPr>
        <w:pStyle w:val="NoSpacing"/>
        <w:jc w:val="both"/>
        <w:rPr>
          <w:rFonts w:ascii="Arial" w:hAnsi="Arial" w:cs="Arial"/>
          <w:sz w:val="24"/>
          <w:szCs w:val="24"/>
        </w:rPr>
      </w:pPr>
      <w:r w:rsidRPr="00CB1E54">
        <w:rPr>
          <w:noProof/>
        </w:rPr>
        <w:lastRenderedPageBreak/>
        <w:drawing>
          <wp:inline distT="0" distB="0" distL="0" distR="0" wp14:anchorId="5C157341" wp14:editId="57072B62">
            <wp:extent cx="6022975" cy="1092200"/>
            <wp:effectExtent l="0" t="0" r="0" b="0"/>
            <wp:docPr id="853198314"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98314" name="Picture 1" descr="A table with numbers and text&#10;&#10;AI-generated content may be incorrect."/>
                    <pic:cNvPicPr/>
                  </pic:nvPicPr>
                  <pic:blipFill>
                    <a:blip r:embed="rId17"/>
                    <a:stretch>
                      <a:fillRect/>
                    </a:stretch>
                  </pic:blipFill>
                  <pic:spPr>
                    <a:xfrm>
                      <a:off x="0" y="0"/>
                      <a:ext cx="6022975" cy="1092200"/>
                    </a:xfrm>
                    <a:prstGeom prst="rect">
                      <a:avLst/>
                    </a:prstGeom>
                  </pic:spPr>
                </pic:pic>
              </a:graphicData>
            </a:graphic>
          </wp:inline>
        </w:drawing>
      </w:r>
    </w:p>
    <w:p w14:paraId="020B8F55" w14:textId="1DDFF8C6" w:rsidR="00EA7898" w:rsidRPr="00CB1E54" w:rsidRDefault="00EA7898" w:rsidP="00207573">
      <w:pPr>
        <w:ind w:right="386"/>
        <w:rPr>
          <w:rFonts w:cs="Arial"/>
        </w:rPr>
      </w:pPr>
    </w:p>
    <w:p w14:paraId="59F66E3C" w14:textId="387A7FB7" w:rsidR="00CB1E54" w:rsidRPr="00CB1E54" w:rsidRDefault="00EB1330" w:rsidP="00EB1330">
      <w:pPr>
        <w:pStyle w:val="ListParagraph"/>
        <w:numPr>
          <w:ilvl w:val="0"/>
          <w:numId w:val="10"/>
        </w:numPr>
        <w:ind w:right="386"/>
        <w:rPr>
          <w:rFonts w:cs="Arial"/>
        </w:rPr>
      </w:pPr>
      <w:r w:rsidRPr="00CB1E54">
        <w:rPr>
          <w:rFonts w:cs="Arial"/>
          <w:b/>
          <w:bCs/>
        </w:rPr>
        <w:t>Reduction in internation</w:t>
      </w:r>
      <w:r w:rsidR="00A22B60">
        <w:rPr>
          <w:rFonts w:cs="Arial"/>
          <w:b/>
          <w:bCs/>
        </w:rPr>
        <w:t>al</w:t>
      </w:r>
      <w:r w:rsidRPr="00CB1E54">
        <w:rPr>
          <w:rFonts w:cs="Arial"/>
          <w:b/>
          <w:bCs/>
        </w:rPr>
        <w:t xml:space="preserve"> links post -</w:t>
      </w:r>
      <w:r w:rsidRPr="00CB1E54">
        <w:rPr>
          <w:rFonts w:cs="Arial"/>
        </w:rPr>
        <w:t xml:space="preserve"> £</w:t>
      </w:r>
      <w:r w:rsidR="002C3D67" w:rsidRPr="00CB1E54">
        <w:rPr>
          <w:rFonts w:cs="Arial"/>
        </w:rPr>
        <w:t>50k per annum</w:t>
      </w:r>
    </w:p>
    <w:p w14:paraId="606AE995" w14:textId="77777777" w:rsidR="00F13512" w:rsidRDefault="00F13512" w:rsidP="00F13512">
      <w:pPr>
        <w:pStyle w:val="ListParagraph"/>
        <w:ind w:left="1080" w:right="386"/>
        <w:rPr>
          <w:rFonts w:cs="Arial"/>
        </w:rPr>
      </w:pPr>
    </w:p>
    <w:p w14:paraId="77113566" w14:textId="3200664A" w:rsidR="005A3480" w:rsidRPr="00320CBD" w:rsidRDefault="005A3480" w:rsidP="00646F89">
      <w:pPr>
        <w:tabs>
          <w:tab w:val="left" w:pos="540"/>
        </w:tabs>
        <w:ind w:right="386"/>
        <w:rPr>
          <w:rFonts w:cs="Arial"/>
          <w:b/>
        </w:rPr>
      </w:pPr>
      <w:r w:rsidRPr="00CB1E54">
        <w:rPr>
          <w:rFonts w:cs="Arial"/>
          <w:b/>
        </w:rPr>
        <w:t>Income</w:t>
      </w:r>
    </w:p>
    <w:p w14:paraId="6A3A79C5" w14:textId="5E9F66AC" w:rsidR="00B976BC" w:rsidRPr="00320CBD" w:rsidRDefault="00E457B0" w:rsidP="00110A5B">
      <w:pPr>
        <w:pStyle w:val="ListParagraph"/>
        <w:numPr>
          <w:ilvl w:val="0"/>
          <w:numId w:val="49"/>
        </w:numPr>
        <w:tabs>
          <w:tab w:val="left" w:pos="540"/>
        </w:tabs>
        <w:ind w:left="426" w:right="386" w:hanging="426"/>
        <w:rPr>
          <w:rFonts w:cs="Arial"/>
        </w:rPr>
      </w:pPr>
      <w:r w:rsidRPr="00320CBD">
        <w:rPr>
          <w:rFonts w:cs="Arial"/>
        </w:rPr>
        <w:t>I</w:t>
      </w:r>
      <w:r w:rsidR="00497284" w:rsidRPr="00320CBD">
        <w:rPr>
          <w:rFonts w:cs="Arial"/>
        </w:rPr>
        <w:t xml:space="preserve">ncome over the 4 year period is </w:t>
      </w:r>
      <w:r w:rsidR="00390953" w:rsidRPr="00320CBD">
        <w:rPr>
          <w:rFonts w:cs="Arial"/>
        </w:rPr>
        <w:t xml:space="preserve">set to increase by another </w:t>
      </w:r>
      <w:r w:rsidR="00497284" w:rsidRPr="00320CBD">
        <w:rPr>
          <w:rFonts w:cs="Arial"/>
        </w:rPr>
        <w:t>£</w:t>
      </w:r>
      <w:r w:rsidR="00A37BBD" w:rsidRPr="00320CBD">
        <w:rPr>
          <w:rFonts w:cs="Arial"/>
        </w:rPr>
        <w:t>8</w:t>
      </w:r>
      <w:r w:rsidR="00497284" w:rsidRPr="00320CBD">
        <w:rPr>
          <w:rFonts w:cs="Arial"/>
        </w:rPr>
        <w:t xml:space="preserve"> million, </w:t>
      </w:r>
      <w:r w:rsidR="00390953" w:rsidRPr="00320CBD">
        <w:rPr>
          <w:rFonts w:cs="Arial"/>
        </w:rPr>
        <w:t>over the current base budget and primarily includes</w:t>
      </w:r>
      <w:r w:rsidR="004C7821" w:rsidRPr="00320CBD">
        <w:rPr>
          <w:rFonts w:cs="Arial"/>
        </w:rPr>
        <w:t>:</w:t>
      </w:r>
    </w:p>
    <w:p w14:paraId="1B4AF90C" w14:textId="77777777" w:rsidR="00497284" w:rsidRPr="00572DC5" w:rsidRDefault="00497284" w:rsidP="00497284">
      <w:pPr>
        <w:tabs>
          <w:tab w:val="left" w:pos="540"/>
        </w:tabs>
        <w:ind w:left="720" w:right="386" w:hanging="720"/>
        <w:rPr>
          <w:rFonts w:cs="Arial"/>
          <w:highlight w:val="yellow"/>
        </w:rPr>
      </w:pPr>
    </w:p>
    <w:p w14:paraId="0D9A3496" w14:textId="01137EA0" w:rsidR="00295857" w:rsidRDefault="00295857" w:rsidP="00712800">
      <w:pPr>
        <w:pStyle w:val="ListParagraph"/>
        <w:numPr>
          <w:ilvl w:val="0"/>
          <w:numId w:val="22"/>
        </w:numPr>
        <w:shd w:val="clear" w:color="auto" w:fill="FFFFFF" w:themeFill="background1"/>
        <w:rPr>
          <w:rFonts w:cs="Arial"/>
        </w:rPr>
      </w:pPr>
      <w:r w:rsidRPr="00237247">
        <w:rPr>
          <w:rFonts w:cs="Arial"/>
          <w:b/>
          <w:bCs/>
        </w:rPr>
        <w:t>Car parking – £900k increased income</w:t>
      </w:r>
      <w:r>
        <w:rPr>
          <w:rFonts w:cs="Arial"/>
        </w:rPr>
        <w:t xml:space="preserve">– In 2024 car parking revenue was around £1.4 million over the budgeted amount of £8.3 m with particular variances in Worcester Street car park, </w:t>
      </w:r>
      <w:r w:rsidR="00E426EC">
        <w:rPr>
          <w:rFonts w:cs="Arial"/>
        </w:rPr>
        <w:t>Opens</w:t>
      </w:r>
      <w:r>
        <w:rPr>
          <w:rFonts w:cs="Arial"/>
        </w:rPr>
        <w:t xml:space="preserve">, Peartree and Redbridge parks and rides. Whilst the recently introduced congestion charge and the awaited traffic filters will have some impact on the income a £900k increase </w:t>
      </w:r>
      <w:r w:rsidR="00B1497F">
        <w:rPr>
          <w:rFonts w:cs="Arial"/>
        </w:rPr>
        <w:t xml:space="preserve">is </w:t>
      </w:r>
      <w:r>
        <w:rPr>
          <w:rFonts w:cs="Arial"/>
        </w:rPr>
        <w:t xml:space="preserve">considered appropriate since the income to date in the current financial year is already tracking £500k over the budget. Overall income will decrease when Oxpens </w:t>
      </w:r>
      <w:r w:rsidR="00B1497F">
        <w:rPr>
          <w:rFonts w:cs="Arial"/>
        </w:rPr>
        <w:t xml:space="preserve">car </w:t>
      </w:r>
      <w:r>
        <w:rPr>
          <w:rFonts w:cs="Arial"/>
        </w:rPr>
        <w:t xml:space="preserve">park closes. </w:t>
      </w:r>
      <w:r w:rsidR="00707522">
        <w:rPr>
          <w:rFonts w:cs="Arial"/>
        </w:rPr>
        <w:t xml:space="preserve">In addition there is £128k arising </w:t>
      </w:r>
      <w:r w:rsidR="00145311">
        <w:rPr>
          <w:rFonts w:cs="Arial"/>
        </w:rPr>
        <w:t>from</w:t>
      </w:r>
      <w:r w:rsidR="00707522">
        <w:rPr>
          <w:rFonts w:cs="Arial"/>
        </w:rPr>
        <w:t xml:space="preserve"> increased charge </w:t>
      </w:r>
      <w:r w:rsidR="00392D60">
        <w:rPr>
          <w:rFonts w:cs="Arial"/>
        </w:rPr>
        <w:t>proposals</w:t>
      </w:r>
      <w:r w:rsidR="00B1497F">
        <w:rPr>
          <w:rFonts w:cs="Arial"/>
        </w:rPr>
        <w:t>.</w:t>
      </w:r>
    </w:p>
    <w:p w14:paraId="5EFF923E" w14:textId="77777777" w:rsidR="00295857" w:rsidRPr="00465FD2" w:rsidRDefault="00295857" w:rsidP="00F76C07">
      <w:pPr>
        <w:pStyle w:val="ListParagraph"/>
        <w:rPr>
          <w:rFonts w:eastAsia="Arial" w:cs="Arial"/>
          <w:color w:val="000000" w:themeColor="text1"/>
          <w:lang w:eastAsia="en-GB"/>
        </w:rPr>
      </w:pPr>
    </w:p>
    <w:p w14:paraId="01B490B4" w14:textId="0B6E1D03" w:rsidR="7698EC71" w:rsidRDefault="7698EC71" w:rsidP="00712800">
      <w:pPr>
        <w:pStyle w:val="ListParagraph"/>
        <w:numPr>
          <w:ilvl w:val="0"/>
          <w:numId w:val="22"/>
        </w:numPr>
        <w:rPr>
          <w:rFonts w:eastAsia="Arial" w:cs="Arial"/>
          <w:color w:val="000000" w:themeColor="text1"/>
          <w:lang w:eastAsia="en-GB"/>
        </w:rPr>
      </w:pPr>
      <w:r w:rsidRPr="00465FD2">
        <w:rPr>
          <w:rFonts w:eastAsia="Arial" w:cs="Arial"/>
          <w:b/>
          <w:color w:val="000000" w:themeColor="text1"/>
          <w:lang w:eastAsia="en-GB"/>
        </w:rPr>
        <w:t>Corporate Property - £</w:t>
      </w:r>
      <w:r w:rsidR="00296D90" w:rsidRPr="00465FD2">
        <w:rPr>
          <w:rFonts w:eastAsia="Arial" w:cs="Arial"/>
          <w:b/>
          <w:color w:val="000000" w:themeColor="text1"/>
          <w:lang w:eastAsia="en-GB"/>
        </w:rPr>
        <w:t>5.</w:t>
      </w:r>
      <w:r w:rsidR="00EB4595">
        <w:rPr>
          <w:rFonts w:eastAsia="Arial" w:cs="Arial"/>
          <w:b/>
          <w:color w:val="000000" w:themeColor="text1"/>
          <w:lang w:eastAsia="en-GB"/>
        </w:rPr>
        <w:t>2</w:t>
      </w:r>
      <w:r w:rsidR="00296D90" w:rsidRPr="00465FD2">
        <w:rPr>
          <w:rFonts w:eastAsia="Arial" w:cs="Arial"/>
          <w:b/>
          <w:color w:val="000000" w:themeColor="text1"/>
          <w:lang w:eastAsia="en-GB"/>
        </w:rPr>
        <w:t xml:space="preserve"> </w:t>
      </w:r>
      <w:r w:rsidR="230323A6" w:rsidRPr="00465FD2">
        <w:rPr>
          <w:rFonts w:eastAsia="Arial" w:cs="Arial"/>
          <w:b/>
          <w:color w:val="000000" w:themeColor="text1"/>
          <w:lang w:eastAsia="en-GB"/>
        </w:rPr>
        <w:t>million</w:t>
      </w:r>
      <w:r w:rsidRPr="00465FD2">
        <w:rPr>
          <w:rFonts w:eastAsia="Arial" w:cs="Arial"/>
          <w:b/>
          <w:color w:val="000000" w:themeColor="text1"/>
          <w:lang w:eastAsia="en-GB"/>
        </w:rPr>
        <w:t xml:space="preserve"> </w:t>
      </w:r>
      <w:r w:rsidR="7676FB1E" w:rsidRPr="00465FD2">
        <w:rPr>
          <w:rFonts w:eastAsia="Arial" w:cs="Arial"/>
          <w:b/>
          <w:color w:val="000000" w:themeColor="text1"/>
          <w:lang w:eastAsia="en-GB"/>
        </w:rPr>
        <w:t xml:space="preserve">additional income over the 4 year period </w:t>
      </w:r>
      <w:r w:rsidR="21427E06" w:rsidRPr="00465FD2">
        <w:rPr>
          <w:rFonts w:eastAsia="Arial" w:cs="Arial"/>
          <w:color w:val="000000" w:themeColor="text1"/>
          <w:lang w:eastAsia="en-GB"/>
        </w:rPr>
        <w:t>–</w:t>
      </w:r>
      <w:r w:rsidRPr="00465FD2">
        <w:rPr>
          <w:rFonts w:eastAsia="Arial" w:cs="Arial"/>
          <w:color w:val="000000" w:themeColor="text1"/>
          <w:lang w:eastAsia="en-GB"/>
        </w:rPr>
        <w:t xml:space="preserve"> </w:t>
      </w:r>
      <w:r w:rsidR="21427E06" w:rsidRPr="00465FD2">
        <w:rPr>
          <w:rFonts w:eastAsia="Arial" w:cs="Arial"/>
          <w:color w:val="000000" w:themeColor="text1"/>
          <w:lang w:eastAsia="en-GB"/>
        </w:rPr>
        <w:t xml:space="preserve">The </w:t>
      </w:r>
      <w:r w:rsidR="30D7C4F2" w:rsidRPr="00465FD2">
        <w:rPr>
          <w:rFonts w:eastAsia="Arial" w:cs="Arial"/>
          <w:color w:val="000000" w:themeColor="text1"/>
          <w:lang w:eastAsia="en-GB"/>
        </w:rPr>
        <w:t xml:space="preserve">baseline budgeted </w:t>
      </w:r>
      <w:r w:rsidR="21427E06" w:rsidRPr="00465FD2">
        <w:rPr>
          <w:rFonts w:eastAsia="Arial" w:cs="Arial"/>
          <w:color w:val="000000" w:themeColor="text1"/>
          <w:lang w:eastAsia="en-GB"/>
        </w:rPr>
        <w:t>commercial rent income figure is currently estimated at around £</w:t>
      </w:r>
      <w:r w:rsidR="50C8C48B" w:rsidRPr="00465FD2">
        <w:rPr>
          <w:rFonts w:eastAsia="Arial" w:cs="Arial"/>
          <w:color w:val="000000" w:themeColor="text1"/>
          <w:lang w:eastAsia="en-GB"/>
        </w:rPr>
        <w:t>1</w:t>
      </w:r>
      <w:r w:rsidR="00B515A5">
        <w:rPr>
          <w:rFonts w:eastAsia="Arial" w:cs="Arial"/>
          <w:color w:val="000000" w:themeColor="text1"/>
          <w:lang w:eastAsia="en-GB"/>
        </w:rPr>
        <w:t>3.5 million</w:t>
      </w:r>
      <w:r w:rsidR="0F9465EB" w:rsidRPr="00465FD2">
        <w:rPr>
          <w:rFonts w:eastAsia="Arial" w:cs="Arial"/>
          <w:color w:val="000000" w:themeColor="text1"/>
          <w:lang w:eastAsia="en-GB"/>
        </w:rPr>
        <w:t xml:space="preserve"> per annum for 202</w:t>
      </w:r>
      <w:r w:rsidR="00296D90" w:rsidRPr="00465FD2">
        <w:rPr>
          <w:rFonts w:eastAsia="Arial" w:cs="Arial"/>
          <w:color w:val="000000" w:themeColor="text1"/>
          <w:lang w:eastAsia="en-GB"/>
        </w:rPr>
        <w:t>5</w:t>
      </w:r>
      <w:r w:rsidR="0F9465EB" w:rsidRPr="00465FD2">
        <w:rPr>
          <w:rFonts w:eastAsia="Arial" w:cs="Arial"/>
          <w:color w:val="000000" w:themeColor="text1"/>
          <w:lang w:eastAsia="en-GB"/>
        </w:rPr>
        <w:t>-2</w:t>
      </w:r>
      <w:r w:rsidR="00296D90" w:rsidRPr="00465FD2">
        <w:rPr>
          <w:rFonts w:eastAsia="Arial" w:cs="Arial"/>
          <w:color w:val="000000" w:themeColor="text1"/>
          <w:lang w:eastAsia="en-GB"/>
        </w:rPr>
        <w:t>6</w:t>
      </w:r>
      <w:r w:rsidR="21427E06" w:rsidRPr="00465FD2">
        <w:rPr>
          <w:rFonts w:eastAsia="Arial" w:cs="Arial"/>
          <w:color w:val="000000" w:themeColor="text1"/>
          <w:lang w:eastAsia="en-GB"/>
        </w:rPr>
        <w:t>.</w:t>
      </w:r>
      <w:r w:rsidR="00BC3F47">
        <w:rPr>
          <w:rFonts w:eastAsia="Arial" w:cs="Arial"/>
          <w:color w:val="000000" w:themeColor="text1"/>
          <w:lang w:eastAsia="en-GB"/>
        </w:rPr>
        <w:t xml:space="preserve"> </w:t>
      </w:r>
      <w:r w:rsidR="004E000B" w:rsidRPr="00465FD2">
        <w:rPr>
          <w:rFonts w:eastAsia="Arial" w:cs="Arial"/>
          <w:color w:val="000000" w:themeColor="text1"/>
          <w:lang w:eastAsia="en-GB"/>
        </w:rPr>
        <w:t xml:space="preserve">Income for the period </w:t>
      </w:r>
      <w:r w:rsidR="008706D9" w:rsidRPr="00465FD2">
        <w:rPr>
          <w:rFonts w:eastAsia="Arial" w:cs="Arial"/>
          <w:color w:val="000000" w:themeColor="text1"/>
          <w:lang w:eastAsia="en-GB"/>
        </w:rPr>
        <w:t xml:space="preserve">2025-26 to 2028-29 </w:t>
      </w:r>
      <w:r w:rsidR="004E000B" w:rsidRPr="00465FD2">
        <w:rPr>
          <w:rFonts w:eastAsia="Arial" w:cs="Arial"/>
          <w:color w:val="000000" w:themeColor="text1"/>
          <w:lang w:eastAsia="en-GB"/>
        </w:rPr>
        <w:t xml:space="preserve">is forecast to </w:t>
      </w:r>
      <w:r w:rsidR="001A6602">
        <w:rPr>
          <w:rFonts w:eastAsia="Arial" w:cs="Arial"/>
          <w:color w:val="000000" w:themeColor="text1"/>
          <w:lang w:eastAsia="en-GB"/>
        </w:rPr>
        <w:t xml:space="preserve">increase by </w:t>
      </w:r>
      <w:r w:rsidR="008609DC">
        <w:rPr>
          <w:rFonts w:eastAsia="Arial" w:cs="Arial"/>
          <w:color w:val="000000" w:themeColor="text1"/>
          <w:lang w:eastAsia="en-GB"/>
        </w:rPr>
        <w:t xml:space="preserve">£5.2 million with increased income streams from The Store, </w:t>
      </w:r>
      <w:r w:rsidR="002B234E">
        <w:rPr>
          <w:rFonts w:eastAsia="Arial" w:cs="Arial"/>
          <w:color w:val="000000" w:themeColor="text1"/>
          <w:lang w:eastAsia="en-GB"/>
        </w:rPr>
        <w:t xml:space="preserve">6-8 Broad Street, Floyds Row and the full year effect of the </w:t>
      </w:r>
      <w:r w:rsidR="002D3005">
        <w:rPr>
          <w:rFonts w:eastAsia="Arial" w:cs="Arial"/>
          <w:color w:val="000000" w:themeColor="text1"/>
          <w:lang w:eastAsia="en-GB"/>
        </w:rPr>
        <w:t xml:space="preserve">redeveloped </w:t>
      </w:r>
      <w:r w:rsidR="002B234E">
        <w:rPr>
          <w:rFonts w:eastAsia="Arial" w:cs="Arial"/>
          <w:color w:val="000000" w:themeColor="text1"/>
          <w:lang w:eastAsia="en-GB"/>
        </w:rPr>
        <w:t>Odeo</w:t>
      </w:r>
      <w:r w:rsidR="002D3005">
        <w:rPr>
          <w:rFonts w:eastAsia="Arial" w:cs="Arial"/>
          <w:color w:val="000000" w:themeColor="text1"/>
          <w:lang w:eastAsia="en-GB"/>
        </w:rPr>
        <w:t xml:space="preserve">n. </w:t>
      </w:r>
      <w:r w:rsidR="009E7EC4">
        <w:rPr>
          <w:rFonts w:eastAsia="Arial" w:cs="Arial"/>
          <w:color w:val="000000" w:themeColor="text1"/>
          <w:lang w:eastAsia="en-GB"/>
        </w:rPr>
        <w:t xml:space="preserve">Alongside of this capital receipts will arise </w:t>
      </w:r>
      <w:r w:rsidR="00C133F1">
        <w:rPr>
          <w:rFonts w:eastAsia="Arial" w:cs="Arial"/>
          <w:color w:val="000000" w:themeColor="text1"/>
          <w:lang w:eastAsia="en-GB"/>
        </w:rPr>
        <w:t xml:space="preserve">from the </w:t>
      </w:r>
      <w:r w:rsidR="00476330" w:rsidRPr="00465FD2">
        <w:rPr>
          <w:rFonts w:eastAsia="Arial" w:cs="Arial"/>
          <w:color w:val="000000" w:themeColor="text1"/>
          <w:lang w:eastAsia="en-GB"/>
        </w:rPr>
        <w:t xml:space="preserve">disposal </w:t>
      </w:r>
      <w:r w:rsidR="00C133F1">
        <w:rPr>
          <w:rFonts w:eastAsia="Arial" w:cs="Arial"/>
          <w:color w:val="000000" w:themeColor="text1"/>
          <w:lang w:eastAsia="en-GB"/>
        </w:rPr>
        <w:t xml:space="preserve">of </w:t>
      </w:r>
      <w:r w:rsidR="00476330" w:rsidRPr="00465FD2">
        <w:rPr>
          <w:rFonts w:eastAsia="Arial" w:cs="Arial"/>
          <w:color w:val="000000" w:themeColor="text1"/>
          <w:lang w:eastAsia="en-GB"/>
        </w:rPr>
        <w:t xml:space="preserve">South Oxfordshire Science </w:t>
      </w:r>
      <w:r w:rsidR="00851BC9" w:rsidRPr="00465FD2">
        <w:rPr>
          <w:rFonts w:eastAsia="Arial" w:cs="Arial"/>
          <w:color w:val="000000" w:themeColor="text1"/>
          <w:lang w:eastAsia="en-GB"/>
        </w:rPr>
        <w:t>Village (SOSV)</w:t>
      </w:r>
      <w:r w:rsidR="00B1497F">
        <w:rPr>
          <w:rFonts w:eastAsia="Arial" w:cs="Arial"/>
          <w:color w:val="000000" w:themeColor="text1"/>
          <w:lang w:eastAsia="en-GB"/>
        </w:rPr>
        <w:t>,</w:t>
      </w:r>
      <w:r w:rsidR="00851BC9" w:rsidRPr="00465FD2">
        <w:rPr>
          <w:rFonts w:eastAsia="Arial" w:cs="Arial"/>
          <w:color w:val="000000" w:themeColor="text1"/>
          <w:lang w:eastAsia="en-GB"/>
        </w:rPr>
        <w:t xml:space="preserve"> </w:t>
      </w:r>
      <w:r w:rsidR="00F061B9" w:rsidRPr="00465FD2">
        <w:rPr>
          <w:rFonts w:eastAsia="Arial" w:cs="Arial"/>
          <w:color w:val="000000" w:themeColor="text1"/>
          <w:lang w:eastAsia="en-GB"/>
        </w:rPr>
        <w:t>Carfax café, HSBC bank</w:t>
      </w:r>
      <w:r w:rsidR="21427E06" w:rsidRPr="00465FD2">
        <w:rPr>
          <w:rFonts w:eastAsia="Arial" w:cs="Arial"/>
          <w:color w:val="000000" w:themeColor="text1"/>
          <w:lang w:eastAsia="en-GB"/>
        </w:rPr>
        <w:t xml:space="preserve"> </w:t>
      </w:r>
      <w:r w:rsidR="00F061B9" w:rsidRPr="00465FD2">
        <w:rPr>
          <w:rFonts w:eastAsia="Arial" w:cs="Arial"/>
          <w:color w:val="000000" w:themeColor="text1"/>
          <w:lang w:eastAsia="en-GB"/>
        </w:rPr>
        <w:t xml:space="preserve">and </w:t>
      </w:r>
      <w:r w:rsidR="00C133F1">
        <w:rPr>
          <w:rFonts w:eastAsia="Arial" w:cs="Arial"/>
          <w:color w:val="000000" w:themeColor="text1"/>
          <w:lang w:eastAsia="en-GB"/>
        </w:rPr>
        <w:t xml:space="preserve">also around </w:t>
      </w:r>
      <w:r w:rsidR="00EF743A" w:rsidRPr="00465FD2">
        <w:rPr>
          <w:rFonts w:eastAsia="Arial" w:cs="Arial"/>
          <w:color w:val="000000" w:themeColor="text1"/>
          <w:lang w:eastAsia="en-GB"/>
        </w:rPr>
        <w:t>£300k of artefacts</w:t>
      </w:r>
      <w:r w:rsidR="00746D6C" w:rsidRPr="00465FD2">
        <w:rPr>
          <w:rFonts w:eastAsia="Arial" w:cs="Arial"/>
          <w:color w:val="000000" w:themeColor="text1"/>
          <w:lang w:eastAsia="en-GB"/>
        </w:rPr>
        <w:t xml:space="preserve"> </w:t>
      </w:r>
      <w:r w:rsidR="00B1497F">
        <w:rPr>
          <w:rFonts w:eastAsia="Arial" w:cs="Arial"/>
          <w:color w:val="000000" w:themeColor="text1"/>
          <w:lang w:eastAsia="en-GB"/>
        </w:rPr>
        <w:t xml:space="preserve">owned by the City Council which are not currently on display </w:t>
      </w:r>
      <w:r w:rsidR="00746D6C" w:rsidRPr="00465FD2">
        <w:rPr>
          <w:rFonts w:eastAsia="Arial" w:cs="Arial"/>
          <w:color w:val="000000" w:themeColor="text1"/>
          <w:lang w:eastAsia="en-GB"/>
        </w:rPr>
        <w:t>(</w:t>
      </w:r>
      <w:r w:rsidR="00957879" w:rsidRPr="00465FD2">
        <w:rPr>
          <w:rFonts w:eastAsia="Arial" w:cs="Arial"/>
          <w:color w:val="000000" w:themeColor="text1"/>
          <w:lang w:eastAsia="en-GB"/>
        </w:rPr>
        <w:t>art, silverware and firearms)</w:t>
      </w:r>
      <w:r w:rsidR="003818C7" w:rsidRPr="00465FD2">
        <w:rPr>
          <w:rFonts w:eastAsia="Arial" w:cs="Arial"/>
          <w:color w:val="000000" w:themeColor="text1"/>
          <w:lang w:eastAsia="en-GB"/>
        </w:rPr>
        <w:t>.</w:t>
      </w:r>
      <w:r w:rsidR="008C7682">
        <w:rPr>
          <w:rFonts w:eastAsia="Arial" w:cs="Arial"/>
          <w:color w:val="000000" w:themeColor="text1"/>
          <w:lang w:eastAsia="en-GB"/>
        </w:rPr>
        <w:t xml:space="preserve"> </w:t>
      </w:r>
      <w:r w:rsidR="00712800">
        <w:rPr>
          <w:rFonts w:eastAsia="Arial" w:cs="Arial"/>
          <w:color w:val="000000" w:themeColor="text1"/>
          <w:lang w:eastAsia="en-GB"/>
        </w:rPr>
        <w:t xml:space="preserve">The Council could also look to sell the Mayors number plate and there will be a specific question included in the Budget consultation to elicit views on this.  </w:t>
      </w:r>
      <w:r w:rsidR="003E2FF6">
        <w:rPr>
          <w:rFonts w:eastAsia="Arial" w:cs="Arial"/>
          <w:color w:val="000000" w:themeColor="text1"/>
          <w:lang w:eastAsia="en-GB"/>
        </w:rPr>
        <w:t xml:space="preserve"> </w:t>
      </w:r>
      <w:r w:rsidR="003818C7" w:rsidRPr="00465FD2">
        <w:rPr>
          <w:rFonts w:eastAsia="Arial" w:cs="Arial"/>
          <w:color w:val="000000" w:themeColor="text1"/>
          <w:lang w:eastAsia="en-GB"/>
        </w:rPr>
        <w:t xml:space="preserve"> </w:t>
      </w:r>
      <w:r w:rsidR="00EF743A" w:rsidRPr="00465FD2">
        <w:rPr>
          <w:rFonts w:eastAsia="Arial" w:cs="Arial"/>
          <w:color w:val="000000" w:themeColor="text1"/>
          <w:lang w:eastAsia="en-GB"/>
        </w:rPr>
        <w:t xml:space="preserve"> </w:t>
      </w:r>
    </w:p>
    <w:p w14:paraId="085566F3" w14:textId="77777777" w:rsidR="00537CF1" w:rsidRPr="00537CF1" w:rsidRDefault="00537CF1" w:rsidP="00537CF1">
      <w:pPr>
        <w:pStyle w:val="ListParagraph"/>
        <w:rPr>
          <w:rFonts w:eastAsia="Arial" w:cs="Arial"/>
          <w:color w:val="000000" w:themeColor="text1"/>
          <w:lang w:eastAsia="en-GB"/>
        </w:rPr>
      </w:pPr>
    </w:p>
    <w:p w14:paraId="2AB8A317" w14:textId="046A3F68" w:rsidR="00537CF1" w:rsidRDefault="00EA01F0" w:rsidP="00712800">
      <w:pPr>
        <w:pStyle w:val="ListParagraph"/>
        <w:numPr>
          <w:ilvl w:val="0"/>
          <w:numId w:val="22"/>
        </w:numPr>
        <w:rPr>
          <w:rFonts w:eastAsia="Arial" w:cs="Arial"/>
          <w:color w:val="000000" w:themeColor="text1"/>
          <w:lang w:eastAsia="en-GB"/>
        </w:rPr>
      </w:pPr>
      <w:r w:rsidRPr="007278C6">
        <w:rPr>
          <w:rFonts w:eastAsia="Arial" w:cs="Arial"/>
          <w:b/>
          <w:bCs/>
          <w:color w:val="000000" w:themeColor="text1"/>
          <w:lang w:eastAsia="en-GB"/>
        </w:rPr>
        <w:t>Advertising -</w:t>
      </w:r>
      <w:r>
        <w:rPr>
          <w:rFonts w:eastAsia="Arial" w:cs="Arial"/>
          <w:color w:val="000000" w:themeColor="text1"/>
          <w:lang w:eastAsia="en-GB"/>
        </w:rPr>
        <w:t xml:space="preserve"> </w:t>
      </w:r>
      <w:r w:rsidR="007278C6">
        <w:rPr>
          <w:rFonts w:eastAsia="Arial" w:cs="Arial"/>
          <w:color w:val="000000" w:themeColor="text1"/>
          <w:lang w:eastAsia="en-GB"/>
        </w:rPr>
        <w:t xml:space="preserve">£438k increase by 2029-30. </w:t>
      </w:r>
      <w:r w:rsidR="005A3C29">
        <w:rPr>
          <w:rFonts w:eastAsia="Arial" w:cs="Arial"/>
          <w:color w:val="000000" w:themeColor="text1"/>
          <w:lang w:eastAsia="en-GB"/>
        </w:rPr>
        <w:t xml:space="preserve">In 2025-26 the council entered into a contract </w:t>
      </w:r>
      <w:r w:rsidR="00237DC0">
        <w:rPr>
          <w:rFonts w:eastAsia="Arial" w:cs="Arial"/>
          <w:color w:val="000000" w:themeColor="text1"/>
          <w:lang w:eastAsia="en-GB"/>
        </w:rPr>
        <w:t>with Clear Channel for a share in the advertising revenue fr</w:t>
      </w:r>
      <w:r>
        <w:rPr>
          <w:rFonts w:eastAsia="Arial" w:cs="Arial"/>
          <w:color w:val="000000" w:themeColor="text1"/>
          <w:lang w:eastAsia="en-GB"/>
        </w:rPr>
        <w:t>o</w:t>
      </w:r>
      <w:r w:rsidR="00237DC0">
        <w:rPr>
          <w:rFonts w:eastAsia="Arial" w:cs="Arial"/>
          <w:color w:val="000000" w:themeColor="text1"/>
          <w:lang w:eastAsia="en-GB"/>
        </w:rPr>
        <w:t>m bus shelters</w:t>
      </w:r>
      <w:r>
        <w:rPr>
          <w:rFonts w:eastAsia="Arial" w:cs="Arial"/>
          <w:color w:val="000000" w:themeColor="text1"/>
          <w:lang w:eastAsia="en-GB"/>
        </w:rPr>
        <w:t xml:space="preserve">. Now that the contract is more established it is possible to more accurately assess the turnover rent. </w:t>
      </w:r>
      <w:r w:rsidR="00237DC0">
        <w:rPr>
          <w:rFonts w:eastAsia="Arial" w:cs="Arial"/>
          <w:color w:val="000000" w:themeColor="text1"/>
          <w:lang w:eastAsia="en-GB"/>
        </w:rPr>
        <w:t xml:space="preserve"> </w:t>
      </w:r>
    </w:p>
    <w:p w14:paraId="737DE751" w14:textId="77777777" w:rsidR="007278C6" w:rsidRPr="007278C6" w:rsidRDefault="007278C6" w:rsidP="007278C6">
      <w:pPr>
        <w:pStyle w:val="ListParagraph"/>
        <w:rPr>
          <w:rFonts w:eastAsia="Arial" w:cs="Arial"/>
          <w:color w:val="000000" w:themeColor="text1"/>
          <w:lang w:eastAsia="en-GB"/>
        </w:rPr>
      </w:pPr>
    </w:p>
    <w:p w14:paraId="118341BF" w14:textId="5F37A0C4" w:rsidR="007278C6" w:rsidRPr="00465FD2" w:rsidRDefault="00CB770F" w:rsidP="00712800">
      <w:pPr>
        <w:pStyle w:val="ListParagraph"/>
        <w:numPr>
          <w:ilvl w:val="0"/>
          <w:numId w:val="22"/>
        </w:numPr>
        <w:rPr>
          <w:rFonts w:eastAsia="Arial" w:cs="Arial"/>
          <w:color w:val="000000" w:themeColor="text1"/>
          <w:lang w:eastAsia="en-GB"/>
        </w:rPr>
      </w:pPr>
      <w:r w:rsidRPr="00C8714F">
        <w:rPr>
          <w:rFonts w:eastAsia="Arial" w:cs="Arial"/>
          <w:b/>
          <w:bCs/>
          <w:color w:val="000000" w:themeColor="text1"/>
          <w:lang w:eastAsia="en-GB"/>
        </w:rPr>
        <w:t xml:space="preserve">Union Street </w:t>
      </w:r>
      <w:r w:rsidR="00C8714F">
        <w:rPr>
          <w:rFonts w:eastAsia="Arial" w:cs="Arial"/>
          <w:b/>
          <w:bCs/>
          <w:color w:val="000000" w:themeColor="text1"/>
          <w:lang w:eastAsia="en-GB"/>
        </w:rPr>
        <w:t xml:space="preserve">car park </w:t>
      </w:r>
      <w:r w:rsidR="00637CB5" w:rsidRPr="00C8714F">
        <w:rPr>
          <w:rFonts w:eastAsia="Arial" w:cs="Arial"/>
          <w:b/>
          <w:bCs/>
          <w:color w:val="000000" w:themeColor="text1"/>
          <w:lang w:eastAsia="en-GB"/>
        </w:rPr>
        <w:t xml:space="preserve">£125k </w:t>
      </w:r>
      <w:r w:rsidR="00C8714F" w:rsidRPr="00C8714F">
        <w:rPr>
          <w:rFonts w:eastAsia="Arial" w:cs="Arial"/>
          <w:b/>
          <w:bCs/>
          <w:color w:val="000000" w:themeColor="text1"/>
          <w:lang w:eastAsia="en-GB"/>
        </w:rPr>
        <w:t>per annum</w:t>
      </w:r>
      <w:r w:rsidRPr="00C8714F">
        <w:rPr>
          <w:rFonts w:eastAsia="Arial" w:cs="Arial"/>
          <w:b/>
          <w:bCs/>
          <w:color w:val="000000" w:themeColor="text1"/>
          <w:lang w:eastAsia="en-GB"/>
        </w:rPr>
        <w:t>–</w:t>
      </w:r>
      <w:r>
        <w:rPr>
          <w:rFonts w:eastAsia="Arial" w:cs="Arial"/>
          <w:color w:val="000000" w:themeColor="text1"/>
          <w:lang w:eastAsia="en-GB"/>
        </w:rPr>
        <w:t xml:space="preserve"> A feasibility study is ongoing for the </w:t>
      </w:r>
      <w:r w:rsidR="00637CB5">
        <w:rPr>
          <w:rFonts w:eastAsia="Arial" w:cs="Arial"/>
          <w:color w:val="000000" w:themeColor="text1"/>
          <w:lang w:eastAsia="en-GB"/>
        </w:rPr>
        <w:t>alternative use of Union Street car park from 2029-30 onwards</w:t>
      </w:r>
    </w:p>
    <w:p w14:paraId="10DC1881" w14:textId="6AB5236F" w:rsidR="59FFE8FA" w:rsidRPr="00572DC5" w:rsidRDefault="59FFE8FA" w:rsidP="60EA432F">
      <w:pPr>
        <w:pStyle w:val="ListParagraph"/>
        <w:rPr>
          <w:rFonts w:eastAsia="Arial" w:cs="Arial"/>
          <w:color w:val="000000" w:themeColor="text1"/>
          <w:highlight w:val="yellow"/>
          <w:lang w:eastAsia="en-GB"/>
        </w:rPr>
      </w:pPr>
    </w:p>
    <w:p w14:paraId="4A6CFC2C" w14:textId="65825DE2" w:rsidR="00382904" w:rsidRPr="00AA6060" w:rsidRDefault="52ACC705" w:rsidP="00B51BBD">
      <w:pPr>
        <w:pStyle w:val="ListParagraph"/>
        <w:tabs>
          <w:tab w:val="left" w:pos="1701"/>
        </w:tabs>
        <w:spacing w:after="120"/>
        <w:ind w:left="709" w:right="386" w:hanging="425"/>
      </w:pPr>
      <w:r w:rsidRPr="00AA6060">
        <w:rPr>
          <w:rFonts w:cs="Arial"/>
        </w:rPr>
        <w:t>f</w:t>
      </w:r>
      <w:r w:rsidR="7BADD603" w:rsidRPr="00AA6060">
        <w:rPr>
          <w:rFonts w:cs="Arial"/>
        </w:rPr>
        <w:t>)</w:t>
      </w:r>
      <w:r w:rsidR="7BADD603" w:rsidRPr="00AA6060">
        <w:rPr>
          <w:rFonts w:cs="Arial"/>
          <w:b/>
          <w:bCs/>
        </w:rPr>
        <w:t xml:space="preserve"> </w:t>
      </w:r>
      <w:r w:rsidR="00F42D9C" w:rsidRPr="00AA6060">
        <w:rPr>
          <w:rFonts w:cs="Arial"/>
          <w:b/>
          <w:bCs/>
        </w:rPr>
        <w:t xml:space="preserve">  </w:t>
      </w:r>
      <w:r w:rsidR="00382904" w:rsidRPr="00AA6060">
        <w:rPr>
          <w:b/>
          <w:bCs/>
        </w:rPr>
        <w:t xml:space="preserve">Fees and Charges </w:t>
      </w:r>
      <w:r w:rsidR="00382904" w:rsidRPr="00AA6060">
        <w:t>– Details of specific fees and charges increases in 202</w:t>
      </w:r>
      <w:r w:rsidR="681F32E7" w:rsidRPr="00AA6060">
        <w:t>5</w:t>
      </w:r>
      <w:r w:rsidR="00382904" w:rsidRPr="00AA6060">
        <w:t>-2</w:t>
      </w:r>
      <w:r w:rsidR="134D96A3" w:rsidRPr="00AA6060">
        <w:t>6</w:t>
      </w:r>
      <w:r w:rsidR="00382904" w:rsidRPr="00AA6060">
        <w:t xml:space="preserve"> are given in Appendix </w:t>
      </w:r>
      <w:r w:rsidR="0075162E" w:rsidRPr="00AA6060">
        <w:t>7</w:t>
      </w:r>
      <w:r w:rsidR="00382904" w:rsidRPr="00AA6060">
        <w:t xml:space="preserve"> with summary details below: </w:t>
      </w:r>
    </w:p>
    <w:p w14:paraId="7203D1CF" w14:textId="51BF296E" w:rsidR="000B1D73" w:rsidRPr="00AA6060" w:rsidRDefault="004A0F74" w:rsidP="00712800">
      <w:pPr>
        <w:pStyle w:val="ListParagraph"/>
        <w:numPr>
          <w:ilvl w:val="0"/>
          <w:numId w:val="11"/>
        </w:numPr>
        <w:ind w:left="1276" w:right="386" w:hanging="567"/>
      </w:pPr>
      <w:r w:rsidRPr="00AA6060">
        <w:rPr>
          <w:b/>
          <w:bCs/>
        </w:rPr>
        <w:t xml:space="preserve">Off street </w:t>
      </w:r>
      <w:r w:rsidR="004F15B9" w:rsidRPr="00AA6060">
        <w:rPr>
          <w:b/>
          <w:bCs/>
        </w:rPr>
        <w:t>Car Parking</w:t>
      </w:r>
      <w:r w:rsidR="004F15B9" w:rsidRPr="00AA6060">
        <w:t xml:space="preserve"> – </w:t>
      </w:r>
      <w:r w:rsidR="000B1D73" w:rsidRPr="00AA6060">
        <w:t xml:space="preserve"> </w:t>
      </w:r>
    </w:p>
    <w:p w14:paraId="6FC77A71" w14:textId="159BB223" w:rsidR="000B1D73" w:rsidRPr="00AA6060" w:rsidRDefault="000B1D73" w:rsidP="00712800">
      <w:pPr>
        <w:pStyle w:val="ListParagraph"/>
        <w:numPr>
          <w:ilvl w:val="2"/>
          <w:numId w:val="11"/>
        </w:numPr>
        <w:shd w:val="clear" w:color="auto" w:fill="FFFFFF" w:themeFill="background1"/>
        <w:rPr>
          <w:rFonts w:cs="Arial"/>
          <w:color w:val="242424"/>
          <w:sz w:val="23"/>
          <w:szCs w:val="23"/>
          <w:lang w:eastAsia="en-GB"/>
        </w:rPr>
      </w:pPr>
      <w:r w:rsidRPr="00AA6060">
        <w:rPr>
          <w:rFonts w:cs="Arial"/>
          <w:color w:val="333333"/>
          <w:bdr w:val="none" w:sz="0" w:space="0" w:color="auto" w:frame="1"/>
          <w:lang w:eastAsia="en-GB"/>
        </w:rPr>
        <w:t xml:space="preserve">City centre goes </w:t>
      </w:r>
      <w:r w:rsidR="439DE189" w:rsidRPr="00AA6060">
        <w:rPr>
          <w:rFonts w:cs="Arial"/>
          <w:color w:val="333333"/>
          <w:bdr w:val="none" w:sz="0" w:space="0" w:color="auto" w:frame="1"/>
          <w:lang w:eastAsia="en-GB"/>
        </w:rPr>
        <w:t xml:space="preserve">up by </w:t>
      </w:r>
      <w:r w:rsidR="439DE189" w:rsidRPr="00AA6060">
        <w:rPr>
          <w:rFonts w:cs="Arial"/>
          <w:b/>
          <w:bCs/>
          <w:color w:val="333333"/>
          <w:bdr w:val="none" w:sz="0" w:space="0" w:color="auto" w:frame="1"/>
          <w:lang w:eastAsia="en-GB"/>
        </w:rPr>
        <w:t xml:space="preserve">30p </w:t>
      </w:r>
      <w:r w:rsidR="009F0FF5" w:rsidRPr="00AA6060">
        <w:rPr>
          <w:rFonts w:cs="Arial"/>
          <w:b/>
          <w:bCs/>
          <w:color w:val="333333"/>
          <w:bdr w:val="none" w:sz="0" w:space="0" w:color="auto" w:frame="1"/>
          <w:lang w:eastAsia="en-GB"/>
        </w:rPr>
        <w:t xml:space="preserve">to 50p </w:t>
      </w:r>
      <w:r w:rsidR="439DE189" w:rsidRPr="00AA6060">
        <w:rPr>
          <w:rFonts w:cs="Arial"/>
          <w:color w:val="333333"/>
          <w:bdr w:val="none" w:sz="0" w:space="0" w:color="auto" w:frame="1"/>
          <w:lang w:eastAsia="en-GB"/>
        </w:rPr>
        <w:t xml:space="preserve">on all tariffs </w:t>
      </w:r>
      <w:r w:rsidR="28508329" w:rsidRPr="00AA6060">
        <w:rPr>
          <w:rFonts w:cs="Arial"/>
          <w:b/>
          <w:bCs/>
          <w:color w:val="333333"/>
          <w:bdr w:val="none" w:sz="0" w:space="0" w:color="auto" w:frame="1"/>
          <w:lang w:eastAsia="en-GB"/>
        </w:rPr>
        <w:t>£</w:t>
      </w:r>
      <w:r w:rsidR="00A66991" w:rsidRPr="00AA6060">
        <w:rPr>
          <w:rFonts w:cs="Arial"/>
          <w:b/>
          <w:bCs/>
          <w:color w:val="333333"/>
          <w:bdr w:val="none" w:sz="0" w:space="0" w:color="auto" w:frame="1"/>
          <w:lang w:eastAsia="en-GB"/>
        </w:rPr>
        <w:t xml:space="preserve">5.10 to £6.30 </w:t>
      </w:r>
      <w:r w:rsidR="28508329" w:rsidRPr="00AA6060">
        <w:rPr>
          <w:rFonts w:cs="Arial"/>
          <w:color w:val="333333"/>
          <w:bdr w:val="none" w:sz="0" w:space="0" w:color="auto" w:frame="1"/>
          <w:lang w:eastAsia="en-GB"/>
        </w:rPr>
        <w:t xml:space="preserve">for first hour </w:t>
      </w:r>
    </w:p>
    <w:p w14:paraId="0F4C14B8" w14:textId="200E38B4" w:rsidR="000B1D73" w:rsidRPr="00BF3504" w:rsidRDefault="000B1D73" w:rsidP="00712800">
      <w:pPr>
        <w:pStyle w:val="ListParagraph"/>
        <w:numPr>
          <w:ilvl w:val="2"/>
          <w:numId w:val="11"/>
        </w:numPr>
        <w:rPr>
          <w:rFonts w:cs="Arial"/>
          <w:color w:val="333333"/>
          <w:lang w:eastAsia="en-GB"/>
        </w:rPr>
      </w:pPr>
      <w:r w:rsidRPr="00AA6060">
        <w:rPr>
          <w:rFonts w:cs="Arial"/>
          <w:color w:val="333333"/>
          <w:bdr w:val="none" w:sz="0" w:space="0" w:color="auto" w:frame="1"/>
          <w:lang w:eastAsia="en-GB"/>
        </w:rPr>
        <w:t xml:space="preserve">District centres </w:t>
      </w:r>
      <w:r w:rsidR="6BEED78B" w:rsidRPr="00AA6060">
        <w:rPr>
          <w:rFonts w:cs="Arial"/>
          <w:color w:val="333333"/>
          <w:bdr w:val="none" w:sz="0" w:space="0" w:color="auto" w:frame="1"/>
          <w:lang w:eastAsia="en-GB"/>
        </w:rPr>
        <w:t xml:space="preserve">up by </w:t>
      </w:r>
      <w:r w:rsidR="00B00533" w:rsidRPr="00AA6060">
        <w:rPr>
          <w:rFonts w:cs="Arial"/>
          <w:b/>
          <w:bCs/>
          <w:color w:val="333333"/>
          <w:bdr w:val="none" w:sz="0" w:space="0" w:color="auto" w:frame="1"/>
          <w:lang w:eastAsia="en-GB"/>
        </w:rPr>
        <w:t>5</w:t>
      </w:r>
      <w:r w:rsidR="6BEED78B" w:rsidRPr="00AA6060">
        <w:rPr>
          <w:rFonts w:cs="Arial"/>
          <w:b/>
          <w:bCs/>
          <w:color w:val="333333"/>
          <w:bdr w:val="none" w:sz="0" w:space="0" w:color="auto" w:frame="1"/>
          <w:lang w:eastAsia="en-GB"/>
        </w:rPr>
        <w:t xml:space="preserve">0p </w:t>
      </w:r>
      <w:r w:rsidR="6BEED78B" w:rsidRPr="00AA6060">
        <w:rPr>
          <w:rFonts w:cs="Arial"/>
          <w:color w:val="333333"/>
          <w:bdr w:val="none" w:sz="0" w:space="0" w:color="auto" w:frame="1"/>
          <w:lang w:eastAsia="en-GB"/>
        </w:rPr>
        <w:t xml:space="preserve">on all tariffs with first hour ranging from </w:t>
      </w:r>
      <w:r w:rsidR="7B62F706" w:rsidRPr="00BF3504">
        <w:rPr>
          <w:rFonts w:cs="Arial"/>
          <w:b/>
          <w:bCs/>
          <w:color w:val="333333"/>
          <w:bdr w:val="none" w:sz="0" w:space="0" w:color="auto" w:frame="1"/>
          <w:lang w:eastAsia="en-GB"/>
        </w:rPr>
        <w:t>£</w:t>
      </w:r>
      <w:r w:rsidR="008E28DC" w:rsidRPr="00BF3504">
        <w:rPr>
          <w:rFonts w:cs="Arial"/>
          <w:b/>
          <w:bCs/>
          <w:color w:val="333333"/>
          <w:bdr w:val="none" w:sz="0" w:space="0" w:color="auto" w:frame="1"/>
          <w:lang w:eastAsia="en-GB"/>
        </w:rPr>
        <w:t>3.10</w:t>
      </w:r>
      <w:r w:rsidR="7B62F706" w:rsidRPr="00BF3504">
        <w:rPr>
          <w:rFonts w:cs="Arial"/>
          <w:b/>
          <w:bCs/>
          <w:color w:val="333333"/>
          <w:bdr w:val="none" w:sz="0" w:space="0" w:color="auto" w:frame="1"/>
          <w:lang w:eastAsia="en-GB"/>
        </w:rPr>
        <w:t xml:space="preserve"> to £</w:t>
      </w:r>
      <w:r w:rsidR="008E28DC" w:rsidRPr="00BF3504">
        <w:rPr>
          <w:rFonts w:cs="Arial"/>
          <w:b/>
          <w:bCs/>
          <w:color w:val="333333"/>
          <w:bdr w:val="none" w:sz="0" w:space="0" w:color="auto" w:frame="1"/>
          <w:lang w:eastAsia="en-GB"/>
        </w:rPr>
        <w:t>3.20</w:t>
      </w:r>
      <w:r w:rsidR="7B62F706" w:rsidRPr="00BF3504">
        <w:rPr>
          <w:rFonts w:cs="Arial"/>
          <w:color w:val="333333"/>
          <w:bdr w:val="none" w:sz="0" w:space="0" w:color="auto" w:frame="1"/>
          <w:lang w:eastAsia="en-GB"/>
        </w:rPr>
        <w:t xml:space="preserve"> </w:t>
      </w:r>
    </w:p>
    <w:p w14:paraId="74C39901" w14:textId="57BFB9F6" w:rsidR="000B1D73" w:rsidRPr="00BF3504" w:rsidRDefault="000B1D73" w:rsidP="00712800">
      <w:pPr>
        <w:pStyle w:val="ListParagraph"/>
        <w:numPr>
          <w:ilvl w:val="2"/>
          <w:numId w:val="11"/>
        </w:numPr>
        <w:rPr>
          <w:rFonts w:cs="Arial"/>
          <w:color w:val="242424"/>
          <w:sz w:val="23"/>
          <w:szCs w:val="23"/>
          <w:lang w:eastAsia="en-GB"/>
        </w:rPr>
      </w:pPr>
      <w:r w:rsidRPr="00BF3504">
        <w:rPr>
          <w:rFonts w:cs="Arial"/>
          <w:color w:val="333333"/>
          <w:bdr w:val="none" w:sz="0" w:space="0" w:color="auto" w:frame="1"/>
          <w:lang w:eastAsia="en-GB"/>
        </w:rPr>
        <w:t xml:space="preserve">Parks </w:t>
      </w:r>
      <w:r w:rsidR="00F06431" w:rsidRPr="00BF3504">
        <w:rPr>
          <w:rFonts w:cs="Arial"/>
          <w:color w:val="333333"/>
          <w:bdr w:val="none" w:sz="0" w:space="0" w:color="auto" w:frame="1"/>
          <w:lang w:eastAsia="en-GB"/>
        </w:rPr>
        <w:t xml:space="preserve">go </w:t>
      </w:r>
      <w:r w:rsidR="18066EEF" w:rsidRPr="00BF3504">
        <w:rPr>
          <w:rFonts w:cs="Arial"/>
          <w:color w:val="333333"/>
          <w:bdr w:val="none" w:sz="0" w:space="0" w:color="auto" w:frame="1"/>
          <w:lang w:eastAsia="en-GB"/>
        </w:rPr>
        <w:t xml:space="preserve">up by </w:t>
      </w:r>
      <w:r w:rsidR="18066EEF" w:rsidRPr="00BF3504">
        <w:rPr>
          <w:rFonts w:cs="Arial"/>
          <w:b/>
          <w:bCs/>
          <w:color w:val="333333"/>
          <w:bdr w:val="none" w:sz="0" w:space="0" w:color="auto" w:frame="1"/>
          <w:lang w:eastAsia="en-GB"/>
        </w:rPr>
        <w:t>20p</w:t>
      </w:r>
      <w:r w:rsidR="18066EEF" w:rsidRPr="00BF3504">
        <w:rPr>
          <w:rFonts w:cs="Arial"/>
          <w:color w:val="333333"/>
          <w:bdr w:val="none" w:sz="0" w:space="0" w:color="auto" w:frame="1"/>
          <w:lang w:eastAsia="en-GB"/>
        </w:rPr>
        <w:t xml:space="preserve"> on all tariffs </w:t>
      </w:r>
      <w:r w:rsidR="00F06431" w:rsidRPr="00BF3504">
        <w:rPr>
          <w:rFonts w:cs="Arial"/>
          <w:color w:val="333333"/>
          <w:bdr w:val="none" w:sz="0" w:space="0" w:color="auto" w:frame="1"/>
          <w:lang w:eastAsia="en-GB"/>
        </w:rPr>
        <w:t xml:space="preserve">from </w:t>
      </w:r>
      <w:r w:rsidR="00AF7F22" w:rsidRPr="00BF3504">
        <w:rPr>
          <w:rFonts w:cs="Arial"/>
          <w:b/>
          <w:bCs/>
          <w:color w:val="333333"/>
          <w:bdr w:val="none" w:sz="0" w:space="0" w:color="auto" w:frame="1"/>
          <w:lang w:eastAsia="en-GB"/>
        </w:rPr>
        <w:t>£1.10</w:t>
      </w:r>
      <w:r w:rsidR="00AF7F22" w:rsidRPr="00BF3504">
        <w:rPr>
          <w:rFonts w:cs="Arial"/>
          <w:color w:val="333333"/>
          <w:bdr w:val="none" w:sz="0" w:space="0" w:color="auto" w:frame="1"/>
          <w:lang w:eastAsia="en-GB"/>
        </w:rPr>
        <w:t xml:space="preserve"> </w:t>
      </w:r>
      <w:r w:rsidRPr="00BF3504">
        <w:rPr>
          <w:rFonts w:cs="Arial"/>
          <w:b/>
          <w:color w:val="333333"/>
          <w:bdr w:val="none" w:sz="0" w:space="0" w:color="auto" w:frame="1"/>
          <w:lang w:eastAsia="en-GB"/>
        </w:rPr>
        <w:t>to £1 </w:t>
      </w:r>
      <w:r w:rsidR="4820B107" w:rsidRPr="00BF3504">
        <w:rPr>
          <w:rFonts w:cs="Arial"/>
          <w:b/>
          <w:bCs/>
          <w:color w:val="333333"/>
          <w:bdr w:val="none" w:sz="0" w:space="0" w:color="auto" w:frame="1"/>
          <w:lang w:eastAsia="en-GB"/>
        </w:rPr>
        <w:t>.</w:t>
      </w:r>
      <w:r w:rsidR="00AF7F22" w:rsidRPr="00BF3504">
        <w:rPr>
          <w:rFonts w:cs="Arial"/>
          <w:b/>
          <w:bCs/>
          <w:color w:val="333333"/>
          <w:bdr w:val="none" w:sz="0" w:space="0" w:color="auto" w:frame="1"/>
          <w:lang w:eastAsia="en-GB"/>
        </w:rPr>
        <w:t>6</w:t>
      </w:r>
      <w:r w:rsidR="4820B107" w:rsidRPr="00BF3504">
        <w:rPr>
          <w:rFonts w:cs="Arial"/>
          <w:b/>
          <w:bCs/>
          <w:color w:val="333333"/>
          <w:bdr w:val="none" w:sz="0" w:space="0" w:color="auto" w:frame="1"/>
          <w:lang w:eastAsia="en-GB"/>
        </w:rPr>
        <w:t xml:space="preserve">0 </w:t>
      </w:r>
      <w:r w:rsidRPr="00BF3504">
        <w:rPr>
          <w:rFonts w:cs="Arial"/>
          <w:color w:val="333333"/>
          <w:bdr w:val="none" w:sz="0" w:space="0" w:color="auto" w:frame="1"/>
          <w:lang w:eastAsia="en-GB"/>
        </w:rPr>
        <w:t>for first hour</w:t>
      </w:r>
    </w:p>
    <w:p w14:paraId="3CB1C40F" w14:textId="16AB0572" w:rsidR="004A0F74" w:rsidRPr="00BF3504" w:rsidRDefault="004A0F74" w:rsidP="00712800">
      <w:pPr>
        <w:pStyle w:val="ListParagraph"/>
        <w:numPr>
          <w:ilvl w:val="0"/>
          <w:numId w:val="11"/>
        </w:numPr>
        <w:ind w:left="1276" w:right="386" w:hanging="567"/>
      </w:pPr>
      <w:r w:rsidRPr="00BF3504">
        <w:rPr>
          <w:b/>
          <w:bCs/>
        </w:rPr>
        <w:t xml:space="preserve">Park and Ride </w:t>
      </w:r>
      <w:r w:rsidR="00C6749A" w:rsidRPr="00BF3504">
        <w:t xml:space="preserve">– </w:t>
      </w:r>
      <w:r w:rsidR="520C6968" w:rsidRPr="00BF3504">
        <w:t>Nil</w:t>
      </w:r>
      <w:r w:rsidR="00C6749A" w:rsidRPr="00BF3504">
        <w:t xml:space="preserve"> on </w:t>
      </w:r>
      <w:r w:rsidR="3795605C" w:rsidRPr="00BF3504">
        <w:t xml:space="preserve">parking only </w:t>
      </w:r>
      <w:r w:rsidR="00C6749A" w:rsidRPr="00BF3504">
        <w:t xml:space="preserve">tariffs with first hour free. </w:t>
      </w:r>
    </w:p>
    <w:p w14:paraId="53BC1416" w14:textId="3A2D6290" w:rsidR="000B1D73" w:rsidRPr="00BF3504" w:rsidRDefault="000B1D73" w:rsidP="00712800">
      <w:pPr>
        <w:pStyle w:val="ListParagraph"/>
        <w:numPr>
          <w:ilvl w:val="0"/>
          <w:numId w:val="11"/>
        </w:numPr>
        <w:ind w:left="1276" w:right="386" w:hanging="567"/>
      </w:pPr>
      <w:r w:rsidRPr="00BF3504">
        <w:rPr>
          <w:b/>
        </w:rPr>
        <w:t xml:space="preserve">Car parking permits </w:t>
      </w:r>
    </w:p>
    <w:p w14:paraId="7A2B0EE4" w14:textId="3FBD365D" w:rsidR="00E21443" w:rsidRPr="006E6419" w:rsidRDefault="00E21443" w:rsidP="00712800">
      <w:pPr>
        <w:pStyle w:val="ListParagraph"/>
        <w:numPr>
          <w:ilvl w:val="2"/>
          <w:numId w:val="11"/>
        </w:numPr>
        <w:ind w:right="386"/>
      </w:pPr>
      <w:r w:rsidRPr="00BF3504">
        <w:lastRenderedPageBreak/>
        <w:t>Outer car parks –</w:t>
      </w:r>
      <w:r w:rsidRPr="006E6419">
        <w:t xml:space="preserve"> annual permits up from </w:t>
      </w:r>
      <w:r w:rsidRPr="0080777C">
        <w:rPr>
          <w:b/>
          <w:bCs/>
        </w:rPr>
        <w:t>£</w:t>
      </w:r>
      <w:r w:rsidR="4FA1AF6F" w:rsidRPr="0080777C">
        <w:rPr>
          <w:b/>
          <w:bCs/>
        </w:rPr>
        <w:t>10</w:t>
      </w:r>
      <w:r w:rsidR="006E6419" w:rsidRPr="0080777C">
        <w:rPr>
          <w:b/>
          <w:bCs/>
        </w:rPr>
        <w:t>5</w:t>
      </w:r>
      <w:r w:rsidRPr="0080777C">
        <w:rPr>
          <w:b/>
          <w:bCs/>
        </w:rPr>
        <w:t xml:space="preserve"> to £1</w:t>
      </w:r>
      <w:r w:rsidR="006E6419" w:rsidRPr="0080777C">
        <w:rPr>
          <w:b/>
          <w:bCs/>
        </w:rPr>
        <w:t>10</w:t>
      </w:r>
      <w:r w:rsidR="00646694" w:rsidRPr="006E6419">
        <w:t xml:space="preserve"> alongside other changes</w:t>
      </w:r>
    </w:p>
    <w:p w14:paraId="6E58BF4D" w14:textId="398483C6" w:rsidR="00E21443" w:rsidRPr="006E6419" w:rsidRDefault="00E21443" w:rsidP="00712800">
      <w:pPr>
        <w:pStyle w:val="ListParagraph"/>
        <w:numPr>
          <w:ilvl w:val="2"/>
          <w:numId w:val="11"/>
        </w:numPr>
        <w:ind w:right="386"/>
      </w:pPr>
      <w:r w:rsidRPr="006E6419">
        <w:t xml:space="preserve">Park and rides – annual permit up from </w:t>
      </w:r>
      <w:r w:rsidRPr="0080777C">
        <w:rPr>
          <w:b/>
          <w:bCs/>
        </w:rPr>
        <w:t>£3</w:t>
      </w:r>
      <w:r w:rsidR="006C7CE9" w:rsidRPr="0080777C">
        <w:rPr>
          <w:b/>
          <w:bCs/>
        </w:rPr>
        <w:t>8</w:t>
      </w:r>
      <w:r w:rsidRPr="0080777C">
        <w:rPr>
          <w:b/>
          <w:bCs/>
        </w:rPr>
        <w:t>0 to £</w:t>
      </w:r>
      <w:r w:rsidR="006C7CE9" w:rsidRPr="0080777C">
        <w:rPr>
          <w:b/>
          <w:bCs/>
        </w:rPr>
        <w:t>420</w:t>
      </w:r>
      <w:r w:rsidR="00646694" w:rsidRPr="006E6419">
        <w:t xml:space="preserve"> alongside other changes</w:t>
      </w:r>
    </w:p>
    <w:p w14:paraId="0ABB499F" w14:textId="4C9D0A0D" w:rsidR="00083889" w:rsidRPr="0008591C" w:rsidRDefault="00382904" w:rsidP="00712800">
      <w:pPr>
        <w:pStyle w:val="ListParagraph"/>
        <w:numPr>
          <w:ilvl w:val="0"/>
          <w:numId w:val="11"/>
        </w:numPr>
        <w:ind w:left="1276" w:right="386" w:hanging="567"/>
      </w:pPr>
      <w:r w:rsidRPr="001B513B">
        <w:rPr>
          <w:b/>
        </w:rPr>
        <w:t>Garden waste bins -</w:t>
      </w:r>
      <w:r w:rsidRPr="001B513B">
        <w:t xml:space="preserve"> </w:t>
      </w:r>
      <w:r w:rsidR="00CE08C8" w:rsidRPr="0080777C">
        <w:rPr>
          <w:b/>
          <w:bCs/>
        </w:rPr>
        <w:t>£</w:t>
      </w:r>
      <w:r w:rsidR="0085435C" w:rsidRPr="0080777C">
        <w:rPr>
          <w:b/>
          <w:bCs/>
        </w:rPr>
        <w:t>94</w:t>
      </w:r>
      <w:r w:rsidR="00CE08C8" w:rsidRPr="0080777C">
        <w:rPr>
          <w:b/>
          <w:bCs/>
        </w:rPr>
        <w:t xml:space="preserve"> </w:t>
      </w:r>
      <w:r w:rsidR="009138D5" w:rsidRPr="0080777C">
        <w:rPr>
          <w:b/>
          <w:bCs/>
        </w:rPr>
        <w:t xml:space="preserve">increased to </w:t>
      </w:r>
      <w:r w:rsidR="006A4A8D" w:rsidRPr="0080777C">
        <w:rPr>
          <w:b/>
          <w:bCs/>
        </w:rPr>
        <w:t>£</w:t>
      </w:r>
      <w:r w:rsidR="7D7987A6" w:rsidRPr="0080777C">
        <w:rPr>
          <w:b/>
          <w:bCs/>
        </w:rPr>
        <w:t>9</w:t>
      </w:r>
      <w:r w:rsidR="0085435C" w:rsidRPr="0080777C">
        <w:rPr>
          <w:b/>
          <w:bCs/>
        </w:rPr>
        <w:t>8.70</w:t>
      </w:r>
      <w:r w:rsidR="006A4A8D" w:rsidRPr="0080777C">
        <w:rPr>
          <w:b/>
          <w:bCs/>
        </w:rPr>
        <w:t xml:space="preserve"> </w:t>
      </w:r>
      <w:r w:rsidR="009138D5" w:rsidRPr="0080777C">
        <w:rPr>
          <w:b/>
          <w:bCs/>
        </w:rPr>
        <w:t>(</w:t>
      </w:r>
      <w:r w:rsidR="06801B56" w:rsidRPr="0080777C">
        <w:rPr>
          <w:b/>
          <w:bCs/>
        </w:rPr>
        <w:t>5.</w:t>
      </w:r>
      <w:r w:rsidR="0085435C" w:rsidRPr="0080777C">
        <w:rPr>
          <w:b/>
          <w:bCs/>
        </w:rPr>
        <w:t>00</w:t>
      </w:r>
      <w:r w:rsidR="009138D5" w:rsidRPr="0080777C">
        <w:rPr>
          <w:b/>
          <w:bCs/>
        </w:rPr>
        <w:t>% increase)</w:t>
      </w:r>
      <w:r w:rsidR="009138D5" w:rsidRPr="001B513B">
        <w:t xml:space="preserve"> with </w:t>
      </w:r>
      <w:r w:rsidR="009D0935" w:rsidRPr="001B513B">
        <w:t>an</w:t>
      </w:r>
      <w:r w:rsidR="00461563" w:rsidRPr="001B513B">
        <w:t xml:space="preserve"> </w:t>
      </w:r>
      <w:r w:rsidR="00461563" w:rsidRPr="0008591C">
        <w:t xml:space="preserve">increase in the </w:t>
      </w:r>
      <w:r w:rsidR="009138D5" w:rsidRPr="0008591C">
        <w:t xml:space="preserve">concessionary rate </w:t>
      </w:r>
      <w:r w:rsidR="75B166D0" w:rsidRPr="0008591C">
        <w:t>from £</w:t>
      </w:r>
      <w:r w:rsidR="48AF153F" w:rsidRPr="0008591C">
        <w:t>5</w:t>
      </w:r>
      <w:r w:rsidR="001B513B" w:rsidRPr="0008591C">
        <w:t>3</w:t>
      </w:r>
      <w:r w:rsidR="009138D5" w:rsidRPr="0008591C">
        <w:t xml:space="preserve"> </w:t>
      </w:r>
      <w:r w:rsidR="009D0935" w:rsidRPr="0008591C">
        <w:t>to £5</w:t>
      </w:r>
      <w:r w:rsidR="001B513B" w:rsidRPr="0008591C">
        <w:t>5.65</w:t>
      </w:r>
      <w:r w:rsidR="009D0935" w:rsidRPr="0008591C">
        <w:t xml:space="preserve"> </w:t>
      </w:r>
      <w:r w:rsidR="0044500D" w:rsidRPr="0008591C">
        <w:t>i.e.</w:t>
      </w:r>
      <w:r w:rsidR="009D0935" w:rsidRPr="0008591C">
        <w:t xml:space="preserve"> </w:t>
      </w:r>
      <w:r w:rsidR="001B513B" w:rsidRPr="0008591C">
        <w:t>5</w:t>
      </w:r>
      <w:r w:rsidR="009D0935" w:rsidRPr="0008591C">
        <w:t>.0</w:t>
      </w:r>
      <w:r w:rsidR="2AFEA5C5" w:rsidRPr="0008591C">
        <w:t>0</w:t>
      </w:r>
      <w:r w:rsidR="009D0935" w:rsidRPr="0008591C">
        <w:t>%</w:t>
      </w:r>
      <w:r w:rsidR="00384F34" w:rsidRPr="0008591C">
        <w:t xml:space="preserve"> </w:t>
      </w:r>
    </w:p>
    <w:p w14:paraId="41BCC6DC" w14:textId="551C21E9" w:rsidR="00B04B90" w:rsidRPr="00E22565" w:rsidRDefault="00B04B90" w:rsidP="00712800">
      <w:pPr>
        <w:pStyle w:val="ListParagraph"/>
        <w:numPr>
          <w:ilvl w:val="0"/>
          <w:numId w:val="11"/>
        </w:numPr>
        <w:ind w:left="1276" w:right="386" w:hanging="567"/>
      </w:pPr>
      <w:r w:rsidRPr="00E22565">
        <w:rPr>
          <w:b/>
        </w:rPr>
        <w:t xml:space="preserve">Replacement bins – </w:t>
      </w:r>
      <w:r w:rsidRPr="00E22565">
        <w:t>for the replacement of two wheeled blue, g</w:t>
      </w:r>
      <w:r w:rsidR="009D0935" w:rsidRPr="00E22565">
        <w:t>reen and brown bins - £3</w:t>
      </w:r>
      <w:r w:rsidR="0008591C" w:rsidRPr="00E22565">
        <w:t xml:space="preserve">6.50 </w:t>
      </w:r>
      <w:r w:rsidR="009D0935" w:rsidRPr="00E22565">
        <w:t>increasing to £3</w:t>
      </w:r>
      <w:r w:rsidR="0008591C" w:rsidRPr="00E22565">
        <w:t>8</w:t>
      </w:r>
      <w:r w:rsidR="6CCD7631" w:rsidRPr="00E22565">
        <w:t>.</w:t>
      </w:r>
      <w:r w:rsidR="0008591C" w:rsidRPr="00E22565">
        <w:t>3</w:t>
      </w:r>
      <w:r w:rsidR="6CCD7631" w:rsidRPr="00E22565">
        <w:t>0</w:t>
      </w:r>
      <w:r w:rsidR="009D0935" w:rsidRPr="00E22565">
        <w:t xml:space="preserve"> </w:t>
      </w:r>
      <w:r w:rsidR="0044500D" w:rsidRPr="00E22565">
        <w:t>i.e.</w:t>
      </w:r>
      <w:r w:rsidR="009D0935" w:rsidRPr="00E22565">
        <w:t xml:space="preserve"> </w:t>
      </w:r>
      <w:r w:rsidR="7A8E9337" w:rsidRPr="00E22565">
        <w:t>4.</w:t>
      </w:r>
      <w:r w:rsidR="0008591C" w:rsidRPr="00E22565">
        <w:t>93</w:t>
      </w:r>
      <w:r w:rsidR="7A8E9337" w:rsidRPr="00E22565">
        <w:t>%</w:t>
      </w:r>
      <w:r w:rsidR="009D0935" w:rsidRPr="00E22565">
        <w:t xml:space="preserve">% increase </w:t>
      </w:r>
    </w:p>
    <w:p w14:paraId="4E0407E4" w14:textId="56C9F532" w:rsidR="00384F34" w:rsidRPr="006A28E8" w:rsidRDefault="46FFF370" w:rsidP="00712800">
      <w:pPr>
        <w:pStyle w:val="ListParagraph"/>
        <w:numPr>
          <w:ilvl w:val="0"/>
          <w:numId w:val="11"/>
        </w:numPr>
        <w:ind w:left="1276" w:right="386" w:hanging="567"/>
      </w:pPr>
      <w:r w:rsidRPr="00E22565">
        <w:rPr>
          <w:b/>
          <w:bCs/>
        </w:rPr>
        <w:t>B</w:t>
      </w:r>
      <w:r w:rsidR="04468354" w:rsidRPr="00E22565">
        <w:rPr>
          <w:b/>
          <w:bCs/>
        </w:rPr>
        <w:t xml:space="preserve">ulky </w:t>
      </w:r>
      <w:r w:rsidRPr="00E22565">
        <w:rPr>
          <w:b/>
          <w:bCs/>
        </w:rPr>
        <w:t>W</w:t>
      </w:r>
      <w:r w:rsidR="04468354" w:rsidRPr="00E22565">
        <w:rPr>
          <w:b/>
          <w:bCs/>
        </w:rPr>
        <w:t>aste</w:t>
      </w:r>
      <w:r w:rsidRPr="00E22565">
        <w:rPr>
          <w:b/>
          <w:bCs/>
        </w:rPr>
        <w:t xml:space="preserve"> collection</w:t>
      </w:r>
      <w:r w:rsidR="04468354" w:rsidRPr="00E22565">
        <w:rPr>
          <w:b/>
          <w:bCs/>
        </w:rPr>
        <w:t>:</w:t>
      </w:r>
      <w:r w:rsidR="04468354" w:rsidRPr="00E22565">
        <w:t xml:space="preserve"> </w:t>
      </w:r>
      <w:r w:rsidR="33D92FCE" w:rsidRPr="00E22565">
        <w:t xml:space="preserve"> </w:t>
      </w:r>
      <w:r w:rsidR="5A40B343" w:rsidRPr="00E22565">
        <w:t>C</w:t>
      </w:r>
      <w:r w:rsidR="0020C25F" w:rsidRPr="00E22565">
        <w:t xml:space="preserve">urrent charge of </w:t>
      </w:r>
      <w:r w:rsidRPr="00E22565">
        <w:t>£2</w:t>
      </w:r>
      <w:r w:rsidR="004C79F2" w:rsidRPr="00E22565">
        <w:t xml:space="preserve">3.50 </w:t>
      </w:r>
      <w:r w:rsidRPr="00E22565">
        <w:t xml:space="preserve">per item </w:t>
      </w:r>
      <w:r w:rsidR="5A40B343" w:rsidRPr="00E22565">
        <w:t>increasing to £2</w:t>
      </w:r>
      <w:r w:rsidR="004C79F2" w:rsidRPr="00E22565">
        <w:t>4</w:t>
      </w:r>
      <w:r w:rsidR="685C15C0" w:rsidRPr="00E22565">
        <w:t>.</w:t>
      </w:r>
      <w:r w:rsidR="004C79F2" w:rsidRPr="00E22565">
        <w:t>7</w:t>
      </w:r>
      <w:r w:rsidR="685C15C0" w:rsidRPr="00E22565">
        <w:t>0</w:t>
      </w:r>
      <w:r w:rsidR="5A40B343" w:rsidRPr="00E22565">
        <w:t xml:space="preserve"> (</w:t>
      </w:r>
      <w:r w:rsidR="004C79F2" w:rsidRPr="00E22565">
        <w:t>5.11</w:t>
      </w:r>
      <w:r w:rsidR="5A40B343" w:rsidRPr="00E22565">
        <w:t xml:space="preserve">%) </w:t>
      </w:r>
      <w:r w:rsidR="33D92FCE" w:rsidRPr="00E22565">
        <w:t xml:space="preserve">and </w:t>
      </w:r>
      <w:r w:rsidR="5A40B343" w:rsidRPr="00E22565">
        <w:t xml:space="preserve">from </w:t>
      </w:r>
      <w:r w:rsidRPr="00E22565">
        <w:t>£3</w:t>
      </w:r>
      <w:r w:rsidR="00E22565" w:rsidRPr="00E22565">
        <w:t>4.50</w:t>
      </w:r>
      <w:r w:rsidRPr="00E22565">
        <w:t xml:space="preserve"> </w:t>
      </w:r>
      <w:r w:rsidR="5A40B343" w:rsidRPr="00E22565">
        <w:t>to £3</w:t>
      </w:r>
      <w:r w:rsidR="00E22565" w:rsidRPr="00E22565">
        <w:t>6</w:t>
      </w:r>
      <w:r w:rsidR="6BFFB0A4" w:rsidRPr="00E22565">
        <w:t>.</w:t>
      </w:r>
      <w:r w:rsidR="00E22565" w:rsidRPr="00E22565">
        <w:t>00</w:t>
      </w:r>
      <w:r w:rsidR="5A40B343" w:rsidRPr="00E22565">
        <w:t xml:space="preserve"> (</w:t>
      </w:r>
      <w:r w:rsidR="0CCC1374" w:rsidRPr="00E22565">
        <w:t>4.</w:t>
      </w:r>
      <w:r w:rsidR="00E22565" w:rsidRPr="00E22565">
        <w:t>3</w:t>
      </w:r>
      <w:r w:rsidR="0CCC1374" w:rsidRPr="00E22565">
        <w:t>5</w:t>
      </w:r>
      <w:r w:rsidR="5A40B343" w:rsidRPr="00E22565">
        <w:t xml:space="preserve">%) </w:t>
      </w:r>
      <w:r w:rsidRPr="00E22565">
        <w:t>for larger items</w:t>
      </w:r>
      <w:r w:rsidR="6B66AFD9" w:rsidRPr="00E22565">
        <w:t>, e.g.</w:t>
      </w:r>
      <w:r w:rsidRPr="00E22565">
        <w:t xml:space="preserve"> refrigerators</w:t>
      </w:r>
      <w:r w:rsidR="6B66AFD9" w:rsidRPr="00E22565">
        <w:t>,</w:t>
      </w:r>
      <w:r w:rsidRPr="00E22565">
        <w:t xml:space="preserve"> washing machines </w:t>
      </w:r>
      <w:r w:rsidR="7E7F6280" w:rsidRPr="00E22565">
        <w:t>etc.</w:t>
      </w:r>
      <w:r w:rsidR="33D92FCE" w:rsidRPr="00E22565">
        <w:t xml:space="preserve"> with </w:t>
      </w:r>
      <w:r w:rsidR="04468354" w:rsidRPr="00E22565">
        <w:t>concessions</w:t>
      </w:r>
      <w:r w:rsidR="5A40B343" w:rsidRPr="00E22565">
        <w:t xml:space="preserve"> remaining </w:t>
      </w:r>
      <w:r w:rsidR="5A40B343" w:rsidRPr="006A28E8">
        <w:t>unchanged</w:t>
      </w:r>
      <w:r w:rsidR="117E4844" w:rsidRPr="006A28E8">
        <w:t>. 50% concessionary rates</w:t>
      </w:r>
      <w:r w:rsidR="3BF3811A" w:rsidRPr="006A28E8">
        <w:t>.</w:t>
      </w:r>
    </w:p>
    <w:p w14:paraId="6A9A341C" w14:textId="7D0030C7" w:rsidR="007E7FA6" w:rsidRPr="00A77DEB" w:rsidRDefault="3C95B7EF" w:rsidP="00712800">
      <w:pPr>
        <w:pStyle w:val="ListParagraph"/>
        <w:numPr>
          <w:ilvl w:val="0"/>
          <w:numId w:val="11"/>
        </w:numPr>
        <w:ind w:left="1276" w:right="386" w:hanging="567"/>
      </w:pPr>
      <w:r w:rsidRPr="00A77DEB">
        <w:rPr>
          <w:b/>
          <w:bCs/>
        </w:rPr>
        <w:t>Land charges</w:t>
      </w:r>
      <w:r w:rsidR="1E8B16CF" w:rsidRPr="00A77DEB">
        <w:t xml:space="preserve"> – </w:t>
      </w:r>
      <w:r w:rsidR="404B866F" w:rsidRPr="00A77DEB">
        <w:t>£</w:t>
      </w:r>
      <w:r w:rsidR="00187399" w:rsidRPr="00A77DEB">
        <w:t>65.75</w:t>
      </w:r>
      <w:r w:rsidR="404B866F" w:rsidRPr="00A77DEB">
        <w:t xml:space="preserve"> to £</w:t>
      </w:r>
      <w:r w:rsidR="006A28E8" w:rsidRPr="00A77DEB">
        <w:t>72.00</w:t>
      </w:r>
      <w:r w:rsidR="404B866F" w:rsidRPr="00A77DEB">
        <w:t xml:space="preserve"> - 9.</w:t>
      </w:r>
      <w:r w:rsidR="006A28E8" w:rsidRPr="00A77DEB">
        <w:t>51</w:t>
      </w:r>
      <w:r w:rsidRPr="00A77DEB">
        <w:t xml:space="preserve">% increase </w:t>
      </w:r>
    </w:p>
    <w:p w14:paraId="42FB97CB" w14:textId="71A4C4D3" w:rsidR="009D0935" w:rsidRPr="0048741D" w:rsidRDefault="5A40B343" w:rsidP="00712800">
      <w:pPr>
        <w:pStyle w:val="ListParagraph"/>
        <w:numPr>
          <w:ilvl w:val="0"/>
          <w:numId w:val="11"/>
        </w:numPr>
        <w:ind w:left="1276" w:right="386" w:hanging="567"/>
      </w:pPr>
      <w:r w:rsidRPr="0048741D">
        <w:rPr>
          <w:b/>
          <w:bCs/>
        </w:rPr>
        <w:t>Planning fees</w:t>
      </w:r>
      <w:r w:rsidR="7001CB7F" w:rsidRPr="0048741D">
        <w:rPr>
          <w:b/>
          <w:bCs/>
        </w:rPr>
        <w:t xml:space="preserve"> – </w:t>
      </w:r>
      <w:r w:rsidR="45A11CEA" w:rsidRPr="0048741D">
        <w:t xml:space="preserve">Planning fees </w:t>
      </w:r>
      <w:r w:rsidR="7810EE14" w:rsidRPr="0048741D">
        <w:t xml:space="preserve">were last increased by the Government in December 2023 </w:t>
      </w:r>
    </w:p>
    <w:p w14:paraId="40E18146" w14:textId="36EEC1B9" w:rsidR="009D0935" w:rsidRPr="0048741D" w:rsidRDefault="009D0935" w:rsidP="00712800">
      <w:pPr>
        <w:pStyle w:val="ListParagraph"/>
        <w:numPr>
          <w:ilvl w:val="0"/>
          <w:numId w:val="11"/>
        </w:numPr>
        <w:ind w:left="1276" w:right="386" w:hanging="567"/>
      </w:pPr>
      <w:r w:rsidRPr="0048741D">
        <w:rPr>
          <w:b/>
        </w:rPr>
        <w:t>General Licenses –</w:t>
      </w:r>
      <w:r w:rsidRPr="0048741D">
        <w:t xml:space="preserve"> </w:t>
      </w:r>
      <w:r w:rsidR="00EE23C0" w:rsidRPr="0048741D">
        <w:t xml:space="preserve">Taxi licenses – nil </w:t>
      </w:r>
      <w:r w:rsidR="00D51A60" w:rsidRPr="0048741D">
        <w:t>increase</w:t>
      </w:r>
      <w:r w:rsidR="00995040" w:rsidRPr="0048741D">
        <w:t>. General licenses set by Government with no announcement currentl</w:t>
      </w:r>
      <w:r w:rsidR="0048741D" w:rsidRPr="0048741D">
        <w:t>y of any increases</w:t>
      </w:r>
    </w:p>
    <w:p w14:paraId="0F72C7B6" w14:textId="40F40375" w:rsidR="4F365DD4" w:rsidRPr="0048741D" w:rsidRDefault="4F365DD4" w:rsidP="00712800">
      <w:pPr>
        <w:pStyle w:val="ListParagraph"/>
        <w:numPr>
          <w:ilvl w:val="0"/>
          <w:numId w:val="11"/>
        </w:numPr>
        <w:ind w:left="1276" w:right="386" w:hanging="567"/>
      </w:pPr>
      <w:r w:rsidRPr="0048741D">
        <w:rPr>
          <w:b/>
          <w:bCs/>
        </w:rPr>
        <w:t>Leisure</w:t>
      </w:r>
      <w:r w:rsidR="6E3C94F7" w:rsidRPr="0048741D">
        <w:rPr>
          <w:b/>
          <w:bCs/>
        </w:rPr>
        <w:t xml:space="preserve"> </w:t>
      </w:r>
      <w:r w:rsidR="6E3C94F7" w:rsidRPr="0048741D">
        <w:t>– increases of between 5-7%</w:t>
      </w:r>
      <w:r w:rsidR="006734EF" w:rsidRPr="0048741D">
        <w:t xml:space="preserve"> reflecting running costs</w:t>
      </w:r>
    </w:p>
    <w:p w14:paraId="3A0B8742" w14:textId="45256E82" w:rsidR="00F76BF5" w:rsidRPr="00556D78" w:rsidRDefault="00F76BF5" w:rsidP="00712800">
      <w:pPr>
        <w:pStyle w:val="ListParagraph"/>
        <w:numPr>
          <w:ilvl w:val="0"/>
          <w:numId w:val="11"/>
        </w:numPr>
        <w:ind w:left="1276" w:right="386" w:hanging="567"/>
      </w:pPr>
      <w:r w:rsidRPr="00556D78">
        <w:rPr>
          <w:b/>
          <w:bCs/>
        </w:rPr>
        <w:t>Pitch fees</w:t>
      </w:r>
      <w:r w:rsidRPr="00556D78">
        <w:t>:</w:t>
      </w:r>
      <w:r w:rsidR="005412D6" w:rsidRPr="00556D78">
        <w:t xml:space="preserve"> Adul</w:t>
      </w:r>
      <w:r w:rsidR="0074186F">
        <w:t>t</w:t>
      </w:r>
      <w:r w:rsidR="005412D6" w:rsidRPr="00556D78">
        <w:t xml:space="preserve"> footbal</w:t>
      </w:r>
      <w:r w:rsidR="00556D78" w:rsidRPr="00556D78">
        <w:t>l</w:t>
      </w:r>
      <w:r w:rsidR="005412D6" w:rsidRPr="00556D78">
        <w:t xml:space="preserve"> </w:t>
      </w:r>
      <w:r w:rsidR="00556D78" w:rsidRPr="00556D78">
        <w:t>p</w:t>
      </w:r>
      <w:r w:rsidR="005412D6" w:rsidRPr="00556D78">
        <w:t xml:space="preserve">itches </w:t>
      </w:r>
      <w:r w:rsidR="00CD5BE0">
        <w:t xml:space="preserve">increased by </w:t>
      </w:r>
      <w:r w:rsidR="00EC375A" w:rsidRPr="00556D78">
        <w:t>£</w:t>
      </w:r>
      <w:r w:rsidR="003A0422" w:rsidRPr="00556D78">
        <w:t xml:space="preserve">2 -£4 </w:t>
      </w:r>
      <w:r w:rsidR="00EF3C07" w:rsidRPr="00556D78">
        <w:t xml:space="preserve">for weekdays and weekends </w:t>
      </w:r>
      <w:r w:rsidR="006809FB">
        <w:t xml:space="preserve">respectively </w:t>
      </w:r>
      <w:r w:rsidR="00EF3C07" w:rsidRPr="00556D78">
        <w:t>and under 17’s £1 -£1.5</w:t>
      </w:r>
      <w:r w:rsidR="006809FB">
        <w:t>0</w:t>
      </w:r>
      <w:r w:rsidR="00EF3C07" w:rsidRPr="00556D78">
        <w:t xml:space="preserve"> for </w:t>
      </w:r>
      <w:r w:rsidR="00B75774" w:rsidRPr="00556D78">
        <w:t>weekdays and weekends</w:t>
      </w:r>
      <w:r w:rsidR="006809FB">
        <w:t xml:space="preserve"> </w:t>
      </w:r>
      <w:r w:rsidR="00CE5692">
        <w:t>respectively</w:t>
      </w:r>
      <w:r w:rsidRPr="00556D78">
        <w:t>.</w:t>
      </w:r>
    </w:p>
    <w:p w14:paraId="2E52091F" w14:textId="77777777" w:rsidR="000C178A" w:rsidRPr="00572DC5" w:rsidRDefault="000C178A" w:rsidP="009138D5">
      <w:pPr>
        <w:pStyle w:val="ListParagraph"/>
        <w:ind w:left="1276" w:right="386"/>
        <w:rPr>
          <w:highlight w:val="yellow"/>
        </w:rPr>
      </w:pPr>
    </w:p>
    <w:p w14:paraId="61FED3F1" w14:textId="77777777" w:rsidR="000C03E1" w:rsidRPr="00547713" w:rsidRDefault="000C03E1" w:rsidP="007E7FA6">
      <w:pPr>
        <w:ind w:left="1276" w:right="386" w:hanging="567"/>
        <w:rPr>
          <w:b/>
        </w:rPr>
      </w:pPr>
      <w:r w:rsidRPr="00547713">
        <w:rPr>
          <w:b/>
        </w:rPr>
        <w:t>Other</w:t>
      </w:r>
    </w:p>
    <w:p w14:paraId="54A982B7" w14:textId="683A0991" w:rsidR="3E416B05" w:rsidRPr="00547713" w:rsidRDefault="6DCC094C" w:rsidP="00712800">
      <w:pPr>
        <w:numPr>
          <w:ilvl w:val="0"/>
          <w:numId w:val="11"/>
        </w:numPr>
        <w:ind w:left="1276" w:right="386" w:hanging="567"/>
      </w:pPr>
      <w:r w:rsidRPr="00547713">
        <w:rPr>
          <w:b/>
          <w:bCs/>
        </w:rPr>
        <w:t>Cemeteries</w:t>
      </w:r>
      <w:r w:rsidRPr="00547713">
        <w:t xml:space="preserve">- exclusive rights of burial </w:t>
      </w:r>
      <w:r w:rsidR="21C78A07" w:rsidRPr="00547713">
        <w:t>for 50 years</w:t>
      </w:r>
      <w:r w:rsidRPr="00547713">
        <w:t xml:space="preserve">- </w:t>
      </w:r>
      <w:r w:rsidR="1624B219" w:rsidRPr="00547713">
        <w:t>£</w:t>
      </w:r>
      <w:r w:rsidR="0034307F" w:rsidRPr="00547713">
        <w:t xml:space="preserve">58 </w:t>
      </w:r>
      <w:r w:rsidR="125AA89E" w:rsidRPr="00547713">
        <w:t xml:space="preserve">increase per annum </w:t>
      </w:r>
      <w:r w:rsidR="00547713" w:rsidRPr="00547713">
        <w:t>(5%)</w:t>
      </w:r>
    </w:p>
    <w:p w14:paraId="45359CC7" w14:textId="4262A028" w:rsidR="00382904" w:rsidRPr="00FE5703" w:rsidRDefault="00382904" w:rsidP="00712800">
      <w:pPr>
        <w:numPr>
          <w:ilvl w:val="0"/>
          <w:numId w:val="11"/>
        </w:numPr>
        <w:ind w:left="1276" w:right="386" w:hanging="567"/>
      </w:pPr>
      <w:r w:rsidRPr="00FE5703">
        <w:rPr>
          <w:b/>
        </w:rPr>
        <w:t>Pest Control</w:t>
      </w:r>
      <w:r w:rsidR="00C02611" w:rsidRPr="00FE5703">
        <w:rPr>
          <w:b/>
        </w:rPr>
        <w:t xml:space="preserve"> </w:t>
      </w:r>
      <w:r w:rsidR="00C02611" w:rsidRPr="00FE5703">
        <w:t xml:space="preserve">– </w:t>
      </w:r>
      <w:r w:rsidR="00374640" w:rsidRPr="00FE5703">
        <w:t xml:space="preserve">rates, mice </w:t>
      </w:r>
      <w:r w:rsidR="0044500D" w:rsidRPr="00FE5703">
        <w:t>etc.</w:t>
      </w:r>
      <w:r w:rsidR="00374640" w:rsidRPr="00FE5703">
        <w:t xml:space="preserve"> </w:t>
      </w:r>
      <w:r w:rsidRPr="00FE5703">
        <w:t xml:space="preserve"> – </w:t>
      </w:r>
      <w:r w:rsidR="14CA93A1" w:rsidRPr="00FE5703">
        <w:t>10% or cost of time taken</w:t>
      </w:r>
    </w:p>
    <w:p w14:paraId="25DF8C1D" w14:textId="4F787557" w:rsidR="00374640" w:rsidRPr="00577A21" w:rsidRDefault="5D51AA0B" w:rsidP="00712800">
      <w:pPr>
        <w:numPr>
          <w:ilvl w:val="0"/>
          <w:numId w:val="11"/>
        </w:numPr>
        <w:ind w:left="1276" w:right="386" w:hanging="567"/>
      </w:pPr>
      <w:r w:rsidRPr="00577A21">
        <w:rPr>
          <w:b/>
          <w:bCs/>
        </w:rPr>
        <w:t>Dog warden collection</w:t>
      </w:r>
      <w:r w:rsidRPr="00577A21">
        <w:t xml:space="preserve"> - £1</w:t>
      </w:r>
      <w:r w:rsidR="00EB4ACF" w:rsidRPr="00577A21">
        <w:t xml:space="preserve">79.85 </w:t>
      </w:r>
      <w:r w:rsidR="008923CC" w:rsidRPr="00577A21">
        <w:t xml:space="preserve">increased by £8.15 </w:t>
      </w:r>
      <w:r w:rsidRPr="00577A21">
        <w:t>(</w:t>
      </w:r>
      <w:r w:rsidR="008923CC" w:rsidRPr="00577A21">
        <w:t>4.5</w:t>
      </w:r>
      <w:r w:rsidRPr="00577A21">
        <w:t>.%)</w:t>
      </w:r>
      <w:r w:rsidR="008923CC" w:rsidRPr="00577A21">
        <w:t xml:space="preserve"> to £188</w:t>
      </w:r>
    </w:p>
    <w:p w14:paraId="34CC5CB4" w14:textId="5D7EF179" w:rsidR="00646F89" w:rsidRPr="00577A21" w:rsidRDefault="1624B219" w:rsidP="00712800">
      <w:pPr>
        <w:numPr>
          <w:ilvl w:val="0"/>
          <w:numId w:val="11"/>
        </w:numPr>
        <w:ind w:left="1276" w:right="386" w:hanging="567"/>
      </w:pPr>
      <w:r w:rsidRPr="00577A21">
        <w:rPr>
          <w:b/>
          <w:bCs/>
        </w:rPr>
        <w:t xml:space="preserve">Taxi Licenses </w:t>
      </w:r>
      <w:r w:rsidR="00FE5703" w:rsidRPr="00577A21">
        <w:t>–</w:t>
      </w:r>
      <w:r w:rsidRPr="00577A21">
        <w:t xml:space="preserve"> </w:t>
      </w:r>
      <w:r w:rsidR="00FE5703" w:rsidRPr="00577A21">
        <w:t>Nil increase</w:t>
      </w:r>
    </w:p>
    <w:p w14:paraId="4C3141F7" w14:textId="16247F53" w:rsidR="00382904" w:rsidRPr="00577A21" w:rsidRDefault="2DF77102" w:rsidP="00712800">
      <w:pPr>
        <w:numPr>
          <w:ilvl w:val="0"/>
          <w:numId w:val="11"/>
        </w:numPr>
        <w:ind w:left="1276" w:right="386" w:hanging="567"/>
      </w:pPr>
      <w:r w:rsidRPr="00577A21">
        <w:rPr>
          <w:b/>
          <w:bCs/>
        </w:rPr>
        <w:t>Garages</w:t>
      </w:r>
      <w:r w:rsidRPr="00577A21">
        <w:t xml:space="preserve"> </w:t>
      </w:r>
      <w:r w:rsidR="5A40B343" w:rsidRPr="00577A21">
        <w:t>-</w:t>
      </w:r>
      <w:r w:rsidRPr="00577A21">
        <w:t xml:space="preserve"> </w:t>
      </w:r>
      <w:r w:rsidR="512073C0" w:rsidRPr="00577A21">
        <w:t>£</w:t>
      </w:r>
      <w:r w:rsidR="00577A21" w:rsidRPr="00577A21">
        <w:t>1</w:t>
      </w:r>
      <w:r w:rsidR="512073C0" w:rsidRPr="00577A21">
        <w:t xml:space="preserve"> </w:t>
      </w:r>
      <w:r w:rsidR="2902AD4B" w:rsidRPr="00577A21">
        <w:t xml:space="preserve">per week </w:t>
      </w:r>
      <w:r w:rsidR="512073C0" w:rsidRPr="00577A21">
        <w:t xml:space="preserve">– </w:t>
      </w:r>
      <w:r w:rsidR="00577A21" w:rsidRPr="00577A21">
        <w:t>5</w:t>
      </w:r>
      <w:r w:rsidR="512073C0" w:rsidRPr="00577A21">
        <w:t>%</w:t>
      </w:r>
    </w:p>
    <w:p w14:paraId="76E4DBD5" w14:textId="77777777" w:rsidR="00F42D9C" w:rsidRPr="00572DC5" w:rsidRDefault="00F42D9C" w:rsidP="00F42D9C">
      <w:pPr>
        <w:ind w:left="1276" w:right="386"/>
        <w:rPr>
          <w:highlight w:val="yellow"/>
        </w:rPr>
      </w:pPr>
    </w:p>
    <w:p w14:paraId="50605D9F" w14:textId="388EFB12" w:rsidR="7CDB4291" w:rsidRPr="00D33A20" w:rsidRDefault="7CDB4291" w:rsidP="64688DE5">
      <w:pPr>
        <w:pStyle w:val="ListParagraph"/>
        <w:tabs>
          <w:tab w:val="left" w:pos="540"/>
        </w:tabs>
        <w:ind w:left="0" w:right="386"/>
        <w:rPr>
          <w:rFonts w:cs="Arial"/>
          <w:b/>
        </w:rPr>
      </w:pPr>
      <w:r w:rsidRPr="00D33A20">
        <w:rPr>
          <w:rFonts w:cs="Arial"/>
          <w:b/>
        </w:rPr>
        <w:t>Expenditure Pressures</w:t>
      </w:r>
    </w:p>
    <w:p w14:paraId="2698B79C" w14:textId="17FF8485" w:rsidR="64688DE5" w:rsidRPr="00D33A20" w:rsidRDefault="64688DE5" w:rsidP="64688DE5">
      <w:pPr>
        <w:pStyle w:val="ListParagraph"/>
        <w:tabs>
          <w:tab w:val="left" w:pos="540"/>
        </w:tabs>
        <w:ind w:left="0" w:right="386"/>
        <w:rPr>
          <w:rFonts w:cs="Arial"/>
          <w:b/>
          <w:bCs/>
        </w:rPr>
      </w:pPr>
    </w:p>
    <w:p w14:paraId="199E96D9" w14:textId="791ACB2D" w:rsidR="7CDB4291" w:rsidRPr="00D33A20" w:rsidRDefault="7CDB4291" w:rsidP="001F2BCF">
      <w:pPr>
        <w:pStyle w:val="ListParagraph"/>
        <w:numPr>
          <w:ilvl w:val="0"/>
          <w:numId w:val="50"/>
        </w:numPr>
        <w:tabs>
          <w:tab w:val="left" w:pos="540"/>
        </w:tabs>
        <w:ind w:right="386"/>
        <w:rPr>
          <w:rFonts w:cs="Arial"/>
          <w:b/>
          <w:bCs/>
        </w:rPr>
      </w:pPr>
      <w:r w:rsidRPr="00D33A20">
        <w:rPr>
          <w:rFonts w:cs="Arial"/>
        </w:rPr>
        <w:t xml:space="preserve">Excluding </w:t>
      </w:r>
      <w:r w:rsidR="5F609E97" w:rsidRPr="00D33A20">
        <w:rPr>
          <w:rFonts w:cs="Arial"/>
        </w:rPr>
        <w:t xml:space="preserve">pay increases there are other service pressures which are </w:t>
      </w:r>
      <w:r w:rsidR="3E02C105" w:rsidRPr="00D33A20">
        <w:rPr>
          <w:rFonts w:cs="Arial"/>
        </w:rPr>
        <w:t>impacting</w:t>
      </w:r>
      <w:r w:rsidR="06A7005E" w:rsidRPr="00D33A20">
        <w:rPr>
          <w:rFonts w:cs="Arial"/>
        </w:rPr>
        <w:t xml:space="preserve"> </w:t>
      </w:r>
      <w:r w:rsidR="5F609E97" w:rsidRPr="00D33A20">
        <w:rPr>
          <w:rFonts w:cs="Arial"/>
        </w:rPr>
        <w:t>the council</w:t>
      </w:r>
      <w:r w:rsidR="06A7005E" w:rsidRPr="00D33A20">
        <w:rPr>
          <w:rFonts w:cs="Arial"/>
        </w:rPr>
        <w:t xml:space="preserve"> the most significant of which include :</w:t>
      </w:r>
    </w:p>
    <w:p w14:paraId="3B104E9B" w14:textId="08788E88" w:rsidR="64688DE5" w:rsidRPr="00572DC5" w:rsidRDefault="64688DE5" w:rsidP="64688DE5">
      <w:pPr>
        <w:pStyle w:val="ListParagraph"/>
        <w:tabs>
          <w:tab w:val="left" w:pos="540"/>
        </w:tabs>
        <w:ind w:left="0" w:right="386"/>
        <w:rPr>
          <w:rFonts w:cs="Arial"/>
          <w:b/>
          <w:bCs/>
          <w:highlight w:val="yellow"/>
        </w:rPr>
      </w:pPr>
    </w:p>
    <w:p w14:paraId="144C4F47" w14:textId="11634261" w:rsidR="00853E9B" w:rsidRPr="00ED7D3E" w:rsidRDefault="00853E9B" w:rsidP="00712800">
      <w:pPr>
        <w:pStyle w:val="ReportNumbering"/>
        <w:numPr>
          <w:ilvl w:val="0"/>
          <w:numId w:val="12"/>
        </w:numPr>
      </w:pPr>
      <w:r w:rsidRPr="00ED7D3E">
        <w:rPr>
          <w:b/>
          <w:bCs/>
        </w:rPr>
        <w:t xml:space="preserve">Net cost of Housing Benefits </w:t>
      </w:r>
      <w:r w:rsidRPr="00ED7D3E">
        <w:t>– From 1-4-2025 most working age housing benefit claimants were migrated to universal credit. Whilst most housing benefit expenditure is reimbursed to the authority in full by way of housing subsidy, where supported accommodation is not provided by a registered provider, housing subsidy is capped. In 2025-26 there is currently a pressure of £1 million per annum arising from this expenditure and it is estimated that this pressure will continue to rise to an estimated £3 million per annum from 2026-27. To mitigate this pressure down to £2</w:t>
      </w:r>
      <w:r w:rsidR="00E0077E">
        <w:t xml:space="preserve"> </w:t>
      </w:r>
      <w:r w:rsidRPr="00ED7D3E">
        <w:t xml:space="preserve">million per annum the Housing Team are working to transfer housing stock from non-registered to registered providers.       </w:t>
      </w:r>
    </w:p>
    <w:p w14:paraId="5A7F96A0" w14:textId="7E3BF5C6" w:rsidR="00E23569" w:rsidRPr="00E23569" w:rsidRDefault="46BEC084" w:rsidP="00712800">
      <w:pPr>
        <w:pStyle w:val="ListParagraph"/>
        <w:numPr>
          <w:ilvl w:val="0"/>
          <w:numId w:val="12"/>
        </w:numPr>
        <w:shd w:val="clear" w:color="auto" w:fill="FFFFFF" w:themeFill="background1"/>
      </w:pPr>
      <w:r w:rsidRPr="00D33A20">
        <w:rPr>
          <w:rFonts w:cs="Arial"/>
          <w:b/>
          <w:bCs/>
        </w:rPr>
        <w:t xml:space="preserve">Temporary Accommodation (TA) – </w:t>
      </w:r>
      <w:r w:rsidR="00B4770A" w:rsidRPr="00D33A20">
        <w:rPr>
          <w:rFonts w:cs="Arial"/>
        </w:rPr>
        <w:t xml:space="preserve">In </w:t>
      </w:r>
      <w:r w:rsidR="005102FC" w:rsidRPr="00D33A20">
        <w:rPr>
          <w:rFonts w:cs="Arial"/>
        </w:rPr>
        <w:t>2025</w:t>
      </w:r>
      <w:r w:rsidR="005102FC" w:rsidRPr="00EB7515">
        <w:rPr>
          <w:rFonts w:cs="Arial"/>
        </w:rPr>
        <w:t>-26 the Council made provision for an a</w:t>
      </w:r>
      <w:r w:rsidRPr="00EB7515">
        <w:rPr>
          <w:rFonts w:cs="Arial"/>
        </w:rPr>
        <w:t>dditional £1.846 million per annum</w:t>
      </w:r>
      <w:r w:rsidR="005102FC" w:rsidRPr="00EB7515">
        <w:rPr>
          <w:rFonts w:cs="Arial"/>
        </w:rPr>
        <w:t xml:space="preserve"> to fund ongoing temporary accommodation cost</w:t>
      </w:r>
      <w:r w:rsidR="006C402A" w:rsidRPr="00EB7515">
        <w:rPr>
          <w:rFonts w:cs="Arial"/>
        </w:rPr>
        <w:t>s</w:t>
      </w:r>
      <w:r w:rsidRPr="00EB7515">
        <w:rPr>
          <w:rFonts w:cs="Arial"/>
        </w:rPr>
        <w:t xml:space="preserve">. </w:t>
      </w:r>
      <w:r w:rsidR="006C402A" w:rsidRPr="00EB7515">
        <w:rPr>
          <w:rFonts w:cs="Arial"/>
        </w:rPr>
        <w:t>Expenditure in this area continues to increase</w:t>
      </w:r>
      <w:r w:rsidR="004108B9">
        <w:rPr>
          <w:rFonts w:cs="Arial"/>
        </w:rPr>
        <w:t xml:space="preserve"> due to increasing demand</w:t>
      </w:r>
      <w:r w:rsidR="00EE37D3" w:rsidRPr="00EB7515">
        <w:rPr>
          <w:rFonts w:cs="Arial"/>
        </w:rPr>
        <w:t xml:space="preserve">. Current </w:t>
      </w:r>
      <w:r w:rsidR="00837740" w:rsidRPr="00EB7515">
        <w:rPr>
          <w:rFonts w:cs="Arial"/>
        </w:rPr>
        <w:t xml:space="preserve">temporary accommodation placement rates </w:t>
      </w:r>
      <w:r w:rsidR="00AA583F" w:rsidRPr="00EB7515">
        <w:rPr>
          <w:rFonts w:cs="Arial"/>
        </w:rPr>
        <w:t xml:space="preserve">have risen from an average of 4.36 households </w:t>
      </w:r>
      <w:r w:rsidR="00F74E7B" w:rsidRPr="00EB7515">
        <w:rPr>
          <w:rFonts w:cs="Arial"/>
        </w:rPr>
        <w:t>placed in 2022-23 to 10.2 so far in this financial year</w:t>
      </w:r>
      <w:r w:rsidR="00747C20" w:rsidRPr="00EB7515">
        <w:rPr>
          <w:rFonts w:cs="Arial"/>
        </w:rPr>
        <w:t xml:space="preserve"> and </w:t>
      </w:r>
      <w:r w:rsidR="0083370A">
        <w:rPr>
          <w:rFonts w:cs="Arial"/>
        </w:rPr>
        <w:t>spend</w:t>
      </w:r>
      <w:r w:rsidR="00747C20" w:rsidRPr="00EB7515">
        <w:rPr>
          <w:rFonts w:cs="Arial"/>
        </w:rPr>
        <w:t xml:space="preserve"> </w:t>
      </w:r>
      <w:r w:rsidR="0083370A">
        <w:rPr>
          <w:rFonts w:cs="Arial"/>
        </w:rPr>
        <w:t>is</w:t>
      </w:r>
      <w:r w:rsidR="00EB7515" w:rsidRPr="00EB7515">
        <w:rPr>
          <w:rFonts w:cs="Arial"/>
        </w:rPr>
        <w:t xml:space="preserve"> forecast to rise to £3.1 million to £5.7 million by 2027-28. </w:t>
      </w:r>
      <w:r w:rsidR="0049239B">
        <w:rPr>
          <w:rFonts w:cs="Arial"/>
        </w:rPr>
        <w:t xml:space="preserve">The </w:t>
      </w:r>
      <w:r w:rsidR="00A24C26">
        <w:rPr>
          <w:rFonts w:cs="Arial"/>
        </w:rPr>
        <w:t xml:space="preserve">Council </w:t>
      </w:r>
      <w:r w:rsidR="00BF0B58">
        <w:rPr>
          <w:rFonts w:cs="Arial"/>
        </w:rPr>
        <w:t xml:space="preserve">is currently housing 309 households in temporary </w:t>
      </w:r>
      <w:r w:rsidR="009D274E">
        <w:rPr>
          <w:rFonts w:cs="Arial"/>
        </w:rPr>
        <w:lastRenderedPageBreak/>
        <w:t>accommodation</w:t>
      </w:r>
      <w:r w:rsidR="008A4D4F">
        <w:rPr>
          <w:rFonts w:cs="Arial"/>
        </w:rPr>
        <w:t xml:space="preserve"> </w:t>
      </w:r>
      <w:r w:rsidR="003A222C">
        <w:rPr>
          <w:rFonts w:cs="Arial"/>
        </w:rPr>
        <w:t>but only has around 188 units of its own stock</w:t>
      </w:r>
      <w:r w:rsidR="00251D65">
        <w:rPr>
          <w:rFonts w:cs="Arial"/>
        </w:rPr>
        <w:t xml:space="preserve"> (up from 100 in 2023)</w:t>
      </w:r>
      <w:r w:rsidR="00434250">
        <w:rPr>
          <w:rFonts w:cs="Arial"/>
        </w:rPr>
        <w:t>, albeit there are plans to increase this to 300 units</w:t>
      </w:r>
      <w:r w:rsidR="00951F84">
        <w:rPr>
          <w:rFonts w:cs="Arial"/>
        </w:rPr>
        <w:t xml:space="preserve">. </w:t>
      </w:r>
      <w:r w:rsidR="003A222C">
        <w:rPr>
          <w:rFonts w:cs="Arial"/>
        </w:rPr>
        <w:t xml:space="preserve">Taking account of voids around </w:t>
      </w:r>
      <w:r w:rsidR="00B60BEE">
        <w:rPr>
          <w:rFonts w:cs="Arial"/>
        </w:rPr>
        <w:t xml:space="preserve">145 households are in hotel and </w:t>
      </w:r>
      <w:r w:rsidR="0074186F">
        <w:rPr>
          <w:rFonts w:cs="Arial"/>
        </w:rPr>
        <w:t xml:space="preserve">“B&amp;B” </w:t>
      </w:r>
      <w:r w:rsidR="00B60BEE">
        <w:rPr>
          <w:rFonts w:cs="Arial"/>
        </w:rPr>
        <w:t>accommodation</w:t>
      </w:r>
      <w:r w:rsidR="00A8261E">
        <w:rPr>
          <w:rFonts w:cs="Arial"/>
        </w:rPr>
        <w:t>, mostly single adults.</w:t>
      </w:r>
      <w:r w:rsidR="00B60BEE">
        <w:rPr>
          <w:rFonts w:cs="Arial"/>
        </w:rPr>
        <w:t xml:space="preserve"> </w:t>
      </w:r>
      <w:r w:rsidR="009D274E">
        <w:rPr>
          <w:rFonts w:cs="Arial"/>
        </w:rPr>
        <w:t>To mitigate this forecast increase in ex</w:t>
      </w:r>
      <w:r w:rsidR="00E23569">
        <w:rPr>
          <w:rFonts w:cs="Arial"/>
        </w:rPr>
        <w:t>p</w:t>
      </w:r>
      <w:r w:rsidR="009D274E">
        <w:rPr>
          <w:rFonts w:cs="Arial"/>
        </w:rPr>
        <w:t>enditure</w:t>
      </w:r>
      <w:r w:rsidR="00E23569">
        <w:rPr>
          <w:rFonts w:cs="Arial"/>
        </w:rPr>
        <w:t xml:space="preserve"> the following </w:t>
      </w:r>
      <w:r w:rsidR="00450528">
        <w:rPr>
          <w:rFonts w:cs="Arial"/>
        </w:rPr>
        <w:t xml:space="preserve">additional </w:t>
      </w:r>
      <w:r w:rsidR="00E23569">
        <w:rPr>
          <w:rFonts w:cs="Arial"/>
        </w:rPr>
        <w:t>measures are being put in place:</w:t>
      </w:r>
    </w:p>
    <w:p w14:paraId="6BC25ACE" w14:textId="77777777" w:rsidR="00E23569" w:rsidRPr="00E23569" w:rsidRDefault="00E23569" w:rsidP="00E23569">
      <w:pPr>
        <w:pStyle w:val="ListParagraph"/>
        <w:rPr>
          <w:rFonts w:cs="Arial"/>
        </w:rPr>
      </w:pPr>
    </w:p>
    <w:p w14:paraId="6D41B29E" w14:textId="3A24D6FE" w:rsidR="00EE37D3" w:rsidRPr="00B55920" w:rsidRDefault="00450528" w:rsidP="00712800">
      <w:pPr>
        <w:pStyle w:val="ListParagraph"/>
        <w:numPr>
          <w:ilvl w:val="1"/>
          <w:numId w:val="12"/>
        </w:numPr>
        <w:shd w:val="clear" w:color="auto" w:fill="FFFFFF" w:themeFill="background1"/>
      </w:pPr>
      <w:r>
        <w:rPr>
          <w:rFonts w:cs="Arial"/>
        </w:rPr>
        <w:t xml:space="preserve">Acquire </w:t>
      </w:r>
      <w:r w:rsidR="00DD354B">
        <w:rPr>
          <w:rFonts w:cs="Arial"/>
        </w:rPr>
        <w:t xml:space="preserve">260 new units of temporary </w:t>
      </w:r>
      <w:r w:rsidR="00D26459">
        <w:rPr>
          <w:rFonts w:cs="Arial"/>
        </w:rPr>
        <w:t>accommodation</w:t>
      </w:r>
      <w:r w:rsidR="00DD354B">
        <w:rPr>
          <w:rFonts w:cs="Arial"/>
        </w:rPr>
        <w:t xml:space="preserve">, on top of the </w:t>
      </w:r>
      <w:r w:rsidR="002B15E0">
        <w:rPr>
          <w:rFonts w:cs="Arial"/>
        </w:rPr>
        <w:t xml:space="preserve">current plans for 300 units of which 150 </w:t>
      </w:r>
      <w:r w:rsidR="00D26459">
        <w:rPr>
          <w:rFonts w:cs="Arial"/>
        </w:rPr>
        <w:t>will</w:t>
      </w:r>
      <w:r w:rsidR="002B15E0">
        <w:rPr>
          <w:rFonts w:cs="Arial"/>
        </w:rPr>
        <w:t xml:space="preserve"> be </w:t>
      </w:r>
      <w:r w:rsidR="00D26459">
        <w:rPr>
          <w:rFonts w:cs="Arial"/>
        </w:rPr>
        <w:t>delivered</w:t>
      </w:r>
      <w:r w:rsidR="002B15E0">
        <w:rPr>
          <w:rFonts w:cs="Arial"/>
        </w:rPr>
        <w:t xml:space="preserve"> </w:t>
      </w:r>
      <w:r w:rsidR="005E54D8">
        <w:rPr>
          <w:rFonts w:cs="Arial"/>
        </w:rPr>
        <w:t>via HRA purchases</w:t>
      </w:r>
      <w:r w:rsidR="00DC2360">
        <w:rPr>
          <w:rFonts w:cs="Arial"/>
        </w:rPr>
        <w:t xml:space="preserve"> costing around £32</w:t>
      </w:r>
      <w:r w:rsidR="00A23AEB">
        <w:rPr>
          <w:rFonts w:cs="Arial"/>
        </w:rPr>
        <w:t>million</w:t>
      </w:r>
      <w:r w:rsidR="005E54D8">
        <w:rPr>
          <w:rFonts w:cs="Arial"/>
        </w:rPr>
        <w:t xml:space="preserve">, 60 HRA transfers, 25 </w:t>
      </w:r>
      <w:r w:rsidR="00C62532">
        <w:rPr>
          <w:rFonts w:cs="Arial"/>
        </w:rPr>
        <w:t>conversions</w:t>
      </w:r>
      <w:r w:rsidR="005E54D8">
        <w:rPr>
          <w:rFonts w:cs="Arial"/>
        </w:rPr>
        <w:t xml:space="preserve"> from the General Fund</w:t>
      </w:r>
      <w:r w:rsidR="00D713FD">
        <w:rPr>
          <w:rFonts w:cs="Arial"/>
        </w:rPr>
        <w:t xml:space="preserve"> and 25 leased. These additions will </w:t>
      </w:r>
      <w:r w:rsidR="00D26459">
        <w:rPr>
          <w:rFonts w:cs="Arial"/>
        </w:rPr>
        <w:t>come</w:t>
      </w:r>
      <w:r w:rsidR="00D713FD">
        <w:rPr>
          <w:rFonts w:cs="Arial"/>
        </w:rPr>
        <w:t xml:space="preserve"> on stream over the next 3 years with an estimated 25% to be delivered by the end of 2026</w:t>
      </w:r>
      <w:r w:rsidR="001001B5">
        <w:rPr>
          <w:rFonts w:cs="Arial"/>
        </w:rPr>
        <w:t>/27</w:t>
      </w:r>
      <w:r w:rsidR="00D713FD">
        <w:rPr>
          <w:rFonts w:cs="Arial"/>
        </w:rPr>
        <w:t xml:space="preserve">. </w:t>
      </w:r>
    </w:p>
    <w:p w14:paraId="5EEA9056" w14:textId="07F09B8A" w:rsidR="00B55920" w:rsidRPr="00614B4D" w:rsidRDefault="00B55920" w:rsidP="00712800">
      <w:pPr>
        <w:pStyle w:val="ListParagraph"/>
        <w:numPr>
          <w:ilvl w:val="1"/>
          <w:numId w:val="12"/>
        </w:numPr>
        <w:shd w:val="clear" w:color="auto" w:fill="FFFFFF" w:themeFill="background1"/>
      </w:pPr>
      <w:r>
        <w:rPr>
          <w:rFonts w:cs="Arial"/>
        </w:rPr>
        <w:t xml:space="preserve">Trial </w:t>
      </w:r>
      <w:r w:rsidR="00D26459">
        <w:rPr>
          <w:rFonts w:cs="Arial"/>
        </w:rPr>
        <w:t>implementation</w:t>
      </w:r>
      <w:r>
        <w:rPr>
          <w:rFonts w:cs="Arial"/>
        </w:rPr>
        <w:t xml:space="preserve"> of a new Hostel </w:t>
      </w:r>
      <w:r w:rsidR="009075BF">
        <w:rPr>
          <w:rFonts w:cs="Arial"/>
        </w:rPr>
        <w:t xml:space="preserve">model </w:t>
      </w:r>
      <w:r>
        <w:rPr>
          <w:rFonts w:cs="Arial"/>
        </w:rPr>
        <w:t xml:space="preserve">that would </w:t>
      </w:r>
      <w:r w:rsidR="009075BF">
        <w:rPr>
          <w:rFonts w:cs="Arial"/>
        </w:rPr>
        <w:t xml:space="preserve">increase </w:t>
      </w:r>
      <w:r w:rsidR="001977CB">
        <w:rPr>
          <w:rFonts w:cs="Arial"/>
        </w:rPr>
        <w:t xml:space="preserve">support for homeless single adults and </w:t>
      </w:r>
      <w:r>
        <w:rPr>
          <w:rFonts w:cs="Arial"/>
        </w:rPr>
        <w:t xml:space="preserve">bring in an estimated £239k </w:t>
      </w:r>
      <w:r w:rsidR="00614B4D">
        <w:rPr>
          <w:rFonts w:cs="Arial"/>
        </w:rPr>
        <w:t>saving per annum</w:t>
      </w:r>
    </w:p>
    <w:p w14:paraId="35B5B4F9" w14:textId="61A6AE18" w:rsidR="00614B4D" w:rsidRPr="002C126E" w:rsidRDefault="00614B4D" w:rsidP="00712800">
      <w:pPr>
        <w:pStyle w:val="ListParagraph"/>
        <w:numPr>
          <w:ilvl w:val="1"/>
          <w:numId w:val="12"/>
        </w:numPr>
        <w:shd w:val="clear" w:color="auto" w:fill="FFFFFF" w:themeFill="background1"/>
      </w:pPr>
      <w:r>
        <w:rPr>
          <w:rFonts w:cs="Arial"/>
        </w:rPr>
        <w:t xml:space="preserve">An </w:t>
      </w:r>
      <w:r w:rsidR="00C62532">
        <w:rPr>
          <w:rFonts w:cs="Arial"/>
        </w:rPr>
        <w:t>invest</w:t>
      </w:r>
      <w:r>
        <w:rPr>
          <w:rFonts w:cs="Arial"/>
        </w:rPr>
        <w:t xml:space="preserve"> to save</w:t>
      </w:r>
      <w:r w:rsidR="0074186F">
        <w:rPr>
          <w:rFonts w:cs="Arial"/>
        </w:rPr>
        <w:t xml:space="preserve"> proposal</w:t>
      </w:r>
      <w:r>
        <w:rPr>
          <w:rFonts w:cs="Arial"/>
        </w:rPr>
        <w:t xml:space="preserve"> focused on m</w:t>
      </w:r>
      <w:r w:rsidR="00E145A9">
        <w:rPr>
          <w:rFonts w:cs="Arial"/>
        </w:rPr>
        <w:t>o</w:t>
      </w:r>
      <w:r>
        <w:rPr>
          <w:rFonts w:cs="Arial"/>
        </w:rPr>
        <w:t>ve on</w:t>
      </w:r>
      <w:r w:rsidR="00D82349">
        <w:rPr>
          <w:rFonts w:cs="Arial"/>
        </w:rPr>
        <w:t xml:space="preserve"> from TA, appointing </w:t>
      </w:r>
      <w:r w:rsidR="00AC7BB6">
        <w:rPr>
          <w:rFonts w:cs="Arial"/>
        </w:rPr>
        <w:t xml:space="preserve">a commissioned service to focus on the move on of single adults into the private rented </w:t>
      </w:r>
      <w:r w:rsidR="002C126E">
        <w:rPr>
          <w:rFonts w:cs="Arial"/>
        </w:rPr>
        <w:t>sector on a payment by results basis</w:t>
      </w:r>
    </w:p>
    <w:p w14:paraId="77A0AE10" w14:textId="73E3AF56" w:rsidR="002C126E" w:rsidRPr="002B56BD" w:rsidRDefault="002C126E" w:rsidP="00712800">
      <w:pPr>
        <w:pStyle w:val="ListParagraph"/>
        <w:numPr>
          <w:ilvl w:val="1"/>
          <w:numId w:val="12"/>
        </w:numPr>
        <w:shd w:val="clear" w:color="auto" w:fill="FFFFFF" w:themeFill="background1"/>
      </w:pPr>
      <w:r>
        <w:rPr>
          <w:rFonts w:cs="Arial"/>
        </w:rPr>
        <w:t xml:space="preserve">A new face to face offer, </w:t>
      </w:r>
      <w:r w:rsidR="005B3530">
        <w:rPr>
          <w:rFonts w:cs="Arial"/>
        </w:rPr>
        <w:t xml:space="preserve">allowing us to offer face to face </w:t>
      </w:r>
      <w:r w:rsidR="00C3412C">
        <w:rPr>
          <w:rFonts w:cs="Arial"/>
        </w:rPr>
        <w:t>assessments</w:t>
      </w:r>
      <w:r w:rsidR="00224487">
        <w:rPr>
          <w:rFonts w:cs="Arial"/>
        </w:rPr>
        <w:t xml:space="preserve"> to all homeless applicants, </w:t>
      </w:r>
      <w:r>
        <w:rPr>
          <w:rFonts w:cs="Arial"/>
        </w:rPr>
        <w:t xml:space="preserve">improving </w:t>
      </w:r>
      <w:r w:rsidR="00224487">
        <w:rPr>
          <w:rFonts w:cs="Arial"/>
        </w:rPr>
        <w:t xml:space="preserve">our support offer to homeless households and helping ensure accurate priority need </w:t>
      </w:r>
      <w:r w:rsidR="00C3412C">
        <w:rPr>
          <w:rFonts w:cs="Arial"/>
        </w:rPr>
        <w:t>decisions which lead to placement</w:t>
      </w:r>
      <w:r w:rsidR="002B56BD">
        <w:rPr>
          <w:rFonts w:cs="Arial"/>
        </w:rPr>
        <w:t xml:space="preserve"> </w:t>
      </w:r>
    </w:p>
    <w:p w14:paraId="03EFC07A" w14:textId="02F85EA6" w:rsidR="002B56BD" w:rsidRPr="00D756D6" w:rsidRDefault="000E56F2" w:rsidP="00712800">
      <w:pPr>
        <w:pStyle w:val="ListParagraph"/>
        <w:numPr>
          <w:ilvl w:val="1"/>
          <w:numId w:val="12"/>
        </w:numPr>
        <w:shd w:val="clear" w:color="auto" w:fill="FFFFFF" w:themeFill="background1"/>
      </w:pPr>
      <w:r>
        <w:rPr>
          <w:rFonts w:cs="Arial"/>
        </w:rPr>
        <w:t xml:space="preserve">Procuring a new ICT systems for Housing Needs to unlock productivity gains for the </w:t>
      </w:r>
      <w:r w:rsidR="00D756D6">
        <w:rPr>
          <w:rFonts w:cs="Arial"/>
        </w:rPr>
        <w:t>team</w:t>
      </w:r>
    </w:p>
    <w:p w14:paraId="35ABB8E2" w14:textId="77777777" w:rsidR="00D756D6" w:rsidRDefault="00D756D6" w:rsidP="00D756D6">
      <w:pPr>
        <w:shd w:val="clear" w:color="auto" w:fill="FFFFFF" w:themeFill="background1"/>
        <w:ind w:left="1080"/>
      </w:pPr>
    </w:p>
    <w:p w14:paraId="2DA7534F" w14:textId="5D5095C1" w:rsidR="00D756D6" w:rsidRDefault="00D756D6" w:rsidP="00D756D6">
      <w:pPr>
        <w:shd w:val="clear" w:color="auto" w:fill="FFFFFF" w:themeFill="background1"/>
        <w:ind w:left="1080"/>
      </w:pPr>
      <w:r>
        <w:t xml:space="preserve">The </w:t>
      </w:r>
      <w:r w:rsidR="0092394D">
        <w:t>co</w:t>
      </w:r>
      <w:r w:rsidR="009E5FB9">
        <w:t>llective</w:t>
      </w:r>
      <w:r w:rsidR="0092394D">
        <w:t xml:space="preserve"> impact on the Housing Service </w:t>
      </w:r>
      <w:r w:rsidR="001E472F">
        <w:t xml:space="preserve">budget is an additional cost in 2026-27 linked to the cost of rolling out </w:t>
      </w:r>
      <w:r w:rsidR="001C2619">
        <w:t>measures</w:t>
      </w:r>
      <w:r w:rsidR="001E472F">
        <w:t xml:space="preserve"> and new staffing and maintenance costs</w:t>
      </w:r>
      <w:r w:rsidR="00292B31">
        <w:t xml:space="preserve"> for a </w:t>
      </w:r>
      <w:r w:rsidR="001C2619">
        <w:t>significantly</w:t>
      </w:r>
      <w:r w:rsidR="00292B31">
        <w:t xml:space="preserve"> larger TA stock and then savings </w:t>
      </w:r>
      <w:r w:rsidR="00E145A9">
        <w:t>i</w:t>
      </w:r>
      <w:r w:rsidR="00292B31">
        <w:t>n 2027-28 of £1.3 million</w:t>
      </w:r>
      <w:r w:rsidR="001C2619">
        <w:t xml:space="preserve"> and an additional £146k from 2028-29</w:t>
      </w:r>
      <w:r w:rsidR="00495402">
        <w:t>. The cost avoidance fro</w:t>
      </w:r>
      <w:r w:rsidR="00E145A9">
        <w:t>m</w:t>
      </w:r>
      <w:r w:rsidR="00495402">
        <w:t xml:space="preserve"> these measures is forecast to </w:t>
      </w:r>
      <w:r w:rsidR="00C963F9">
        <w:t>deliver</w:t>
      </w:r>
      <w:r w:rsidR="00495402">
        <w:t xml:space="preserve"> approximately £6m annually by the end of the 4 year MTFP period </w:t>
      </w:r>
      <w:r w:rsidR="00EA7B65">
        <w:t xml:space="preserve">through the </w:t>
      </w:r>
      <w:r w:rsidR="00C963F9">
        <w:t>elimination</w:t>
      </w:r>
      <w:r w:rsidR="00EA7B65">
        <w:t xml:space="preserve"> </w:t>
      </w:r>
      <w:r w:rsidR="00E145A9">
        <w:t>o</w:t>
      </w:r>
      <w:r w:rsidR="00EA7B65">
        <w:t xml:space="preserve">f hotel and </w:t>
      </w:r>
      <w:r w:rsidR="0074186F">
        <w:t xml:space="preserve">B&amp;B </w:t>
      </w:r>
      <w:r w:rsidR="00EA7B65">
        <w:t>use, this is on top of the estimated £8.5 million c</w:t>
      </w:r>
      <w:r w:rsidR="00C963F9">
        <w:t>ost avoidance already being delivered primarily through the 200 units</w:t>
      </w:r>
      <w:r w:rsidR="00E035C2">
        <w:t xml:space="preserve"> </w:t>
      </w:r>
      <w:r w:rsidR="00900CED">
        <w:t>of additional TA currently delivered and other measures</w:t>
      </w:r>
      <w:r w:rsidR="00C963F9">
        <w:t>.</w:t>
      </w:r>
      <w:r w:rsidR="00960485">
        <w:t xml:space="preserve"> This position can be shown graphically as :</w:t>
      </w:r>
    </w:p>
    <w:p w14:paraId="7C3C5F87" w14:textId="77777777" w:rsidR="0065331E" w:rsidRDefault="0065331E" w:rsidP="00D756D6">
      <w:pPr>
        <w:shd w:val="clear" w:color="auto" w:fill="FFFFFF" w:themeFill="background1"/>
        <w:ind w:left="1080"/>
      </w:pPr>
    </w:p>
    <w:p w14:paraId="628B732F" w14:textId="77777777" w:rsidR="0065331E" w:rsidRDefault="0065331E" w:rsidP="00D756D6">
      <w:pPr>
        <w:shd w:val="clear" w:color="auto" w:fill="FFFFFF" w:themeFill="background1"/>
        <w:ind w:left="1080"/>
      </w:pPr>
    </w:p>
    <w:p w14:paraId="05F39E31" w14:textId="77777777" w:rsidR="0065331E" w:rsidRDefault="0065331E" w:rsidP="00D756D6">
      <w:pPr>
        <w:shd w:val="clear" w:color="auto" w:fill="FFFFFF" w:themeFill="background1"/>
        <w:ind w:left="1080"/>
      </w:pPr>
    </w:p>
    <w:p w14:paraId="556FDCA5" w14:textId="77777777" w:rsidR="0065331E" w:rsidRDefault="0065331E" w:rsidP="00D756D6">
      <w:pPr>
        <w:shd w:val="clear" w:color="auto" w:fill="FFFFFF" w:themeFill="background1"/>
        <w:ind w:left="1080"/>
      </w:pPr>
    </w:p>
    <w:p w14:paraId="5AC8E2FB" w14:textId="77777777" w:rsidR="0065331E" w:rsidRDefault="0065331E" w:rsidP="00D756D6">
      <w:pPr>
        <w:shd w:val="clear" w:color="auto" w:fill="FFFFFF" w:themeFill="background1"/>
        <w:ind w:left="1080"/>
      </w:pPr>
    </w:p>
    <w:p w14:paraId="30E50ABB" w14:textId="77777777" w:rsidR="0065331E" w:rsidRDefault="0065331E" w:rsidP="00D756D6">
      <w:pPr>
        <w:shd w:val="clear" w:color="auto" w:fill="FFFFFF" w:themeFill="background1"/>
        <w:ind w:left="1080"/>
      </w:pPr>
    </w:p>
    <w:p w14:paraId="783E09AC" w14:textId="77777777" w:rsidR="0065331E" w:rsidRDefault="0065331E" w:rsidP="00D756D6">
      <w:pPr>
        <w:shd w:val="clear" w:color="auto" w:fill="FFFFFF" w:themeFill="background1"/>
        <w:ind w:left="1080"/>
      </w:pPr>
    </w:p>
    <w:p w14:paraId="267F6ABD" w14:textId="77777777" w:rsidR="0065331E" w:rsidRDefault="0065331E" w:rsidP="00D756D6">
      <w:pPr>
        <w:shd w:val="clear" w:color="auto" w:fill="FFFFFF" w:themeFill="background1"/>
        <w:ind w:left="1080"/>
      </w:pPr>
    </w:p>
    <w:p w14:paraId="727CA920" w14:textId="77777777" w:rsidR="0065331E" w:rsidRDefault="0065331E" w:rsidP="00D756D6">
      <w:pPr>
        <w:shd w:val="clear" w:color="auto" w:fill="FFFFFF" w:themeFill="background1"/>
        <w:ind w:left="1080"/>
      </w:pPr>
    </w:p>
    <w:p w14:paraId="14773FD4" w14:textId="77777777" w:rsidR="0065331E" w:rsidRDefault="0065331E" w:rsidP="00D756D6">
      <w:pPr>
        <w:shd w:val="clear" w:color="auto" w:fill="FFFFFF" w:themeFill="background1"/>
        <w:ind w:left="1080"/>
      </w:pPr>
    </w:p>
    <w:p w14:paraId="2FF8A56C" w14:textId="77777777" w:rsidR="0065331E" w:rsidRDefault="0065331E" w:rsidP="00D756D6">
      <w:pPr>
        <w:shd w:val="clear" w:color="auto" w:fill="FFFFFF" w:themeFill="background1"/>
        <w:ind w:left="1080"/>
      </w:pPr>
    </w:p>
    <w:p w14:paraId="17E04066" w14:textId="77777777" w:rsidR="0065331E" w:rsidRDefault="0065331E" w:rsidP="00D756D6">
      <w:pPr>
        <w:shd w:val="clear" w:color="auto" w:fill="FFFFFF" w:themeFill="background1"/>
        <w:ind w:left="1080"/>
      </w:pPr>
    </w:p>
    <w:p w14:paraId="2E500DAD" w14:textId="77777777" w:rsidR="0065331E" w:rsidRDefault="0065331E" w:rsidP="00D756D6">
      <w:pPr>
        <w:shd w:val="clear" w:color="auto" w:fill="FFFFFF" w:themeFill="background1"/>
        <w:ind w:left="1080"/>
      </w:pPr>
    </w:p>
    <w:p w14:paraId="0984BD84" w14:textId="0B066C18" w:rsidR="00C31A2D" w:rsidRPr="00CA7F4B" w:rsidRDefault="00C31A2D" w:rsidP="00C31A2D">
      <w:pPr>
        <w:shd w:val="clear" w:color="auto" w:fill="FFFFFF" w:themeFill="background1"/>
        <w:rPr>
          <w:b/>
          <w:bCs/>
        </w:rPr>
      </w:pPr>
      <w:r w:rsidRPr="00CA7F4B">
        <w:rPr>
          <w:b/>
          <w:bCs/>
        </w:rPr>
        <w:t>Pict</w:t>
      </w:r>
      <w:r w:rsidR="00653855" w:rsidRPr="00CA7F4B">
        <w:rPr>
          <w:b/>
          <w:bCs/>
        </w:rPr>
        <w:t xml:space="preserve">ure 3 : </w:t>
      </w:r>
      <w:r w:rsidR="00CA7F4B" w:rsidRPr="00CA7F4B">
        <w:rPr>
          <w:b/>
          <w:bCs/>
        </w:rPr>
        <w:t>Temporary Accommodation Increases and mitigations</w:t>
      </w:r>
    </w:p>
    <w:p w14:paraId="0CB8A342" w14:textId="77777777" w:rsidR="00960485" w:rsidRDefault="00960485" w:rsidP="00D756D6">
      <w:pPr>
        <w:shd w:val="clear" w:color="auto" w:fill="FFFFFF" w:themeFill="background1"/>
        <w:ind w:left="1080"/>
      </w:pPr>
    </w:p>
    <w:p w14:paraId="3A6F7C21" w14:textId="77777777" w:rsidR="00333FCF" w:rsidRPr="00333FCF" w:rsidRDefault="00333FCF" w:rsidP="00333FCF">
      <w:pPr>
        <w:rPr>
          <w:rFonts w:ascii="Times New Roman" w:hAnsi="Times New Roman"/>
          <w:lang w:eastAsia="en-GB"/>
        </w:rPr>
      </w:pPr>
      <w:r w:rsidRPr="00333FCF">
        <w:rPr>
          <w:rFonts w:ascii="Times New Roman" w:hAnsi="Times New Roman"/>
          <w:noProof/>
          <w:lang w:eastAsia="en-GB"/>
        </w:rPr>
        <w:lastRenderedPageBreak/>
        <w:drawing>
          <wp:inline distT="0" distB="0" distL="0" distR="0" wp14:anchorId="61F9D02F" wp14:editId="71249AFF">
            <wp:extent cx="5819775" cy="2886075"/>
            <wp:effectExtent l="0" t="0" r="9525" b="9525"/>
            <wp:docPr id="190836008" name="Picture 1"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36008" name="Picture 1" descr="A graph with blue and orange line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9775" cy="2886075"/>
                    </a:xfrm>
                    <a:prstGeom prst="rect">
                      <a:avLst/>
                    </a:prstGeom>
                    <a:noFill/>
                    <a:ln>
                      <a:noFill/>
                    </a:ln>
                  </pic:spPr>
                </pic:pic>
              </a:graphicData>
            </a:graphic>
          </wp:inline>
        </w:drawing>
      </w:r>
    </w:p>
    <w:p w14:paraId="3784C462" w14:textId="77777777" w:rsidR="00960485" w:rsidRDefault="00960485" w:rsidP="001A1C48">
      <w:pPr>
        <w:shd w:val="clear" w:color="auto" w:fill="FFFFFF" w:themeFill="background1"/>
      </w:pPr>
    </w:p>
    <w:p w14:paraId="3E270B87" w14:textId="77777777" w:rsidR="000950F0" w:rsidRPr="00B054F3" w:rsidRDefault="003B7E69" w:rsidP="00712800">
      <w:pPr>
        <w:pStyle w:val="ListParagraph"/>
        <w:numPr>
          <w:ilvl w:val="0"/>
          <w:numId w:val="12"/>
        </w:numPr>
        <w:shd w:val="clear" w:color="auto" w:fill="FFFFFF" w:themeFill="background1"/>
        <w:rPr>
          <w:rFonts w:cs="Arial"/>
        </w:rPr>
      </w:pPr>
      <w:r w:rsidRPr="00B054F3">
        <w:rPr>
          <w:rFonts w:cs="Arial"/>
          <w:b/>
          <w:bCs/>
        </w:rPr>
        <w:t>Oxford Growth Commission</w:t>
      </w:r>
      <w:r w:rsidRPr="00B054F3">
        <w:rPr>
          <w:rFonts w:cs="Arial"/>
        </w:rPr>
        <w:t xml:space="preserve"> - £100k one off </w:t>
      </w:r>
      <w:r w:rsidR="000950F0" w:rsidRPr="00B054F3">
        <w:rPr>
          <w:rFonts w:cs="Arial"/>
        </w:rPr>
        <w:t xml:space="preserve">staffing </w:t>
      </w:r>
      <w:r w:rsidRPr="00B054F3">
        <w:rPr>
          <w:rFonts w:cs="Arial"/>
        </w:rPr>
        <w:t xml:space="preserve">support </w:t>
      </w:r>
      <w:r w:rsidR="00F00DDC" w:rsidRPr="00B054F3">
        <w:rPr>
          <w:rFonts w:cs="Arial"/>
        </w:rPr>
        <w:t>2029-30</w:t>
      </w:r>
    </w:p>
    <w:p w14:paraId="2DD863D8" w14:textId="28B25542" w:rsidR="000B10E5" w:rsidRPr="00237247" w:rsidRDefault="000950F0" w:rsidP="00712800">
      <w:pPr>
        <w:pStyle w:val="ListParagraph"/>
        <w:numPr>
          <w:ilvl w:val="0"/>
          <w:numId w:val="12"/>
        </w:numPr>
        <w:shd w:val="clear" w:color="auto" w:fill="FFFFFF" w:themeFill="background1"/>
        <w:rPr>
          <w:rFonts w:cs="Arial"/>
          <w:b/>
          <w:bCs/>
        </w:rPr>
      </w:pPr>
      <w:r w:rsidRPr="00B054F3">
        <w:rPr>
          <w:rFonts w:cs="Arial"/>
        </w:rPr>
        <w:t xml:space="preserve"> </w:t>
      </w:r>
      <w:r w:rsidR="00BD01B9" w:rsidRPr="00237247">
        <w:rPr>
          <w:rFonts w:cs="Arial"/>
          <w:b/>
          <w:bCs/>
        </w:rPr>
        <w:t xml:space="preserve">ICT Inflation </w:t>
      </w:r>
      <w:r w:rsidR="00D61B09" w:rsidRPr="00237247">
        <w:rPr>
          <w:rFonts w:cs="Arial"/>
          <w:b/>
          <w:bCs/>
        </w:rPr>
        <w:t xml:space="preserve">- £120k per annum </w:t>
      </w:r>
    </w:p>
    <w:p w14:paraId="1B47E842" w14:textId="52FEDE8D" w:rsidR="00047555" w:rsidRDefault="00047555" w:rsidP="00712800">
      <w:pPr>
        <w:pStyle w:val="ListParagraph"/>
        <w:numPr>
          <w:ilvl w:val="0"/>
          <w:numId w:val="12"/>
        </w:numPr>
        <w:shd w:val="clear" w:color="auto" w:fill="FFFFFF" w:themeFill="background1"/>
        <w:rPr>
          <w:rFonts w:cs="Arial"/>
        </w:rPr>
      </w:pPr>
      <w:r>
        <w:rPr>
          <w:rFonts w:cs="Arial"/>
          <w:b/>
          <w:bCs/>
        </w:rPr>
        <w:t xml:space="preserve">Business rates on empty properties </w:t>
      </w:r>
      <w:r w:rsidR="00E426EC">
        <w:rPr>
          <w:rFonts w:cs="Arial"/>
        </w:rPr>
        <w:t>e.g.</w:t>
      </w:r>
      <w:r w:rsidR="008245F3">
        <w:rPr>
          <w:rFonts w:cs="Arial"/>
        </w:rPr>
        <w:t xml:space="preserve"> Floyds Row - £188k per annum</w:t>
      </w:r>
    </w:p>
    <w:p w14:paraId="081EF726" w14:textId="1E9C59D4" w:rsidR="64688DE5" w:rsidRPr="00572DC5" w:rsidRDefault="64688DE5" w:rsidP="64688DE5">
      <w:pPr>
        <w:pStyle w:val="ListParagraph"/>
        <w:tabs>
          <w:tab w:val="left" w:pos="540"/>
        </w:tabs>
        <w:ind w:left="0" w:right="386"/>
        <w:rPr>
          <w:rFonts w:cs="Arial"/>
          <w:b/>
          <w:bCs/>
          <w:highlight w:val="yellow"/>
        </w:rPr>
      </w:pPr>
    </w:p>
    <w:p w14:paraId="128EA4A3" w14:textId="66A6B40C" w:rsidR="005A3480" w:rsidRPr="00D33A20" w:rsidRDefault="00B976BC" w:rsidP="00844457">
      <w:pPr>
        <w:pStyle w:val="ListParagraph"/>
        <w:tabs>
          <w:tab w:val="left" w:pos="540"/>
        </w:tabs>
        <w:ind w:left="0" w:right="386"/>
        <w:rPr>
          <w:rFonts w:cs="Arial"/>
          <w:b/>
        </w:rPr>
      </w:pPr>
      <w:r w:rsidRPr="00D33A20">
        <w:rPr>
          <w:rFonts w:cs="Arial"/>
          <w:b/>
        </w:rPr>
        <w:t>New</w:t>
      </w:r>
      <w:r w:rsidR="00FE28D3" w:rsidRPr="00D33A20">
        <w:rPr>
          <w:rFonts w:cs="Arial"/>
          <w:b/>
        </w:rPr>
        <w:t xml:space="preserve"> Expenditure</w:t>
      </w:r>
    </w:p>
    <w:p w14:paraId="054EC87A" w14:textId="77777777" w:rsidR="00B976BC" w:rsidRPr="00D33A20" w:rsidRDefault="00B976BC" w:rsidP="00844457">
      <w:pPr>
        <w:pStyle w:val="ListParagraph"/>
        <w:tabs>
          <w:tab w:val="left" w:pos="540"/>
        </w:tabs>
        <w:ind w:left="0" w:right="386"/>
        <w:rPr>
          <w:rFonts w:cs="Arial"/>
          <w:b/>
        </w:rPr>
      </w:pPr>
    </w:p>
    <w:p w14:paraId="3DA62CF4" w14:textId="43C7E578" w:rsidR="33671715" w:rsidRPr="00D33A20" w:rsidRDefault="6346A442" w:rsidP="001F2BCF">
      <w:pPr>
        <w:pStyle w:val="ListParagraph"/>
        <w:numPr>
          <w:ilvl w:val="0"/>
          <w:numId w:val="51"/>
        </w:numPr>
        <w:ind w:right="386"/>
        <w:rPr>
          <w:rFonts w:cs="Arial"/>
        </w:rPr>
      </w:pPr>
      <w:r w:rsidRPr="00D33A20">
        <w:rPr>
          <w:rFonts w:cs="Arial"/>
        </w:rPr>
        <w:t xml:space="preserve">New Expenditure where the </w:t>
      </w:r>
      <w:r w:rsidR="42A1DEE0" w:rsidRPr="00D33A20">
        <w:rPr>
          <w:rFonts w:cs="Arial"/>
        </w:rPr>
        <w:t>Council</w:t>
      </w:r>
      <w:r w:rsidRPr="00D33A20">
        <w:rPr>
          <w:rFonts w:cs="Arial"/>
        </w:rPr>
        <w:t xml:space="preserve"> ha</w:t>
      </w:r>
      <w:r w:rsidR="5B93E92B" w:rsidRPr="00D33A20">
        <w:rPr>
          <w:rFonts w:cs="Arial"/>
        </w:rPr>
        <w:t>s</w:t>
      </w:r>
      <w:r w:rsidRPr="00D33A20">
        <w:rPr>
          <w:rFonts w:cs="Arial"/>
        </w:rPr>
        <w:t xml:space="preserve"> </w:t>
      </w:r>
      <w:r w:rsidR="783D25A7" w:rsidRPr="00D33A20">
        <w:rPr>
          <w:rFonts w:cs="Arial"/>
        </w:rPr>
        <w:t xml:space="preserve">a </w:t>
      </w:r>
      <w:r w:rsidRPr="00D33A20">
        <w:rPr>
          <w:rFonts w:cs="Arial"/>
        </w:rPr>
        <w:t>choice whether or not to undertake is estimated at around £</w:t>
      </w:r>
      <w:r w:rsidR="1F2E0D8E" w:rsidRPr="00D33A20">
        <w:rPr>
          <w:rFonts w:cs="Arial"/>
        </w:rPr>
        <w:t>300k per annum.</w:t>
      </w:r>
      <w:r w:rsidRPr="00D33A20">
        <w:rPr>
          <w:rFonts w:cs="Arial"/>
        </w:rPr>
        <w:t xml:space="preserve"> </w:t>
      </w:r>
      <w:r w:rsidR="006734EF" w:rsidRPr="00D33A20">
        <w:rPr>
          <w:rFonts w:cs="Arial"/>
        </w:rPr>
        <w:t xml:space="preserve">This reflects areas which will be of benefit to the general public who wish to see core council services delivered well.  </w:t>
      </w:r>
      <w:r w:rsidRPr="00D33A20">
        <w:rPr>
          <w:rFonts w:cs="Arial"/>
        </w:rPr>
        <w:t xml:space="preserve">The most </w:t>
      </w:r>
      <w:r w:rsidR="360984E5" w:rsidRPr="00D33A20">
        <w:rPr>
          <w:rFonts w:cs="Arial"/>
        </w:rPr>
        <w:t>significant</w:t>
      </w:r>
      <w:r w:rsidRPr="00D33A20">
        <w:rPr>
          <w:rFonts w:cs="Arial"/>
        </w:rPr>
        <w:t xml:space="preserve"> includes :</w:t>
      </w:r>
    </w:p>
    <w:p w14:paraId="48B1AF67" w14:textId="4DCDC0F6" w:rsidR="462CD69D" w:rsidRPr="00D33A20" w:rsidRDefault="462CD69D" w:rsidP="1EDB5DC6">
      <w:pPr>
        <w:pStyle w:val="ListParagraph"/>
        <w:ind w:right="386" w:hanging="720"/>
        <w:rPr>
          <w:rFonts w:cs="Arial"/>
        </w:rPr>
      </w:pPr>
    </w:p>
    <w:p w14:paraId="29630B3A" w14:textId="108D2223" w:rsidR="006F57BE" w:rsidRDefault="00182D12" w:rsidP="00712800">
      <w:pPr>
        <w:pStyle w:val="ListParagraph"/>
        <w:numPr>
          <w:ilvl w:val="0"/>
          <w:numId w:val="27"/>
        </w:numPr>
        <w:ind w:right="386"/>
        <w:rPr>
          <w:rFonts w:cs="Arial"/>
        </w:rPr>
      </w:pPr>
      <w:r w:rsidRPr="00CF6BCE">
        <w:rPr>
          <w:rFonts w:cs="Arial"/>
          <w:b/>
          <w:bCs/>
        </w:rPr>
        <w:t>Local Government Reorganisation</w:t>
      </w:r>
      <w:r>
        <w:rPr>
          <w:rFonts w:cs="Arial"/>
        </w:rPr>
        <w:t xml:space="preserve"> – Provision has been made for an amount of </w:t>
      </w:r>
      <w:r w:rsidR="005A49D2">
        <w:rPr>
          <w:rFonts w:cs="Arial"/>
        </w:rPr>
        <w:t>£2 million</w:t>
      </w:r>
      <w:r>
        <w:rPr>
          <w:rFonts w:cs="Arial"/>
        </w:rPr>
        <w:t xml:space="preserve"> in respect of </w:t>
      </w:r>
      <w:r w:rsidR="00A035FC">
        <w:rPr>
          <w:rFonts w:cs="Arial"/>
        </w:rPr>
        <w:t xml:space="preserve">project management resource </w:t>
      </w:r>
      <w:r w:rsidR="00CF6BCE">
        <w:rPr>
          <w:rFonts w:cs="Arial"/>
        </w:rPr>
        <w:t xml:space="preserve">and consultancy </w:t>
      </w:r>
      <w:r w:rsidR="00A035FC">
        <w:rPr>
          <w:rFonts w:cs="Arial"/>
        </w:rPr>
        <w:t>to commence the authorities progress to</w:t>
      </w:r>
      <w:r w:rsidR="008F265D">
        <w:rPr>
          <w:rFonts w:cs="Arial"/>
        </w:rPr>
        <w:t>wards local Government re-</w:t>
      </w:r>
      <w:r w:rsidR="00CF6BCE">
        <w:rPr>
          <w:rFonts w:cs="Arial"/>
        </w:rPr>
        <w:t xml:space="preserve">organisation. </w:t>
      </w:r>
    </w:p>
    <w:p w14:paraId="395E5755" w14:textId="238BC5B7" w:rsidR="005A49D2" w:rsidRPr="005A49D2" w:rsidRDefault="005A49D2" w:rsidP="008F265D">
      <w:pPr>
        <w:pStyle w:val="ListParagraph"/>
        <w:ind w:left="861" w:right="386"/>
        <w:rPr>
          <w:rFonts w:cs="Arial"/>
        </w:rPr>
      </w:pPr>
    </w:p>
    <w:p w14:paraId="7DDD73B2" w14:textId="654EFC90" w:rsidR="001D3AC5" w:rsidRPr="00D33A20" w:rsidRDefault="001D3AC5" w:rsidP="00712800">
      <w:pPr>
        <w:pStyle w:val="ListParagraph"/>
        <w:numPr>
          <w:ilvl w:val="0"/>
          <w:numId w:val="27"/>
        </w:numPr>
        <w:ind w:right="386"/>
        <w:rPr>
          <w:rFonts w:cs="Arial"/>
        </w:rPr>
      </w:pPr>
      <w:r w:rsidRPr="00D33A20">
        <w:rPr>
          <w:rFonts w:cs="Arial"/>
          <w:b/>
          <w:bCs/>
        </w:rPr>
        <w:t>ODS cli</w:t>
      </w:r>
      <w:r w:rsidR="005A49D2">
        <w:rPr>
          <w:rFonts w:cs="Arial"/>
          <w:b/>
          <w:bCs/>
        </w:rPr>
        <w:t>e</w:t>
      </w:r>
      <w:r w:rsidRPr="00D33A20">
        <w:rPr>
          <w:rFonts w:cs="Arial"/>
          <w:b/>
          <w:bCs/>
        </w:rPr>
        <w:t>nt</w:t>
      </w:r>
      <w:r w:rsidR="00EA634C" w:rsidRPr="00D33A20">
        <w:rPr>
          <w:rFonts w:cs="Arial"/>
          <w:b/>
          <w:bCs/>
        </w:rPr>
        <w:t>ing £</w:t>
      </w:r>
      <w:r w:rsidR="00567793" w:rsidRPr="00D33A20">
        <w:rPr>
          <w:rFonts w:cs="Arial"/>
          <w:b/>
          <w:bCs/>
        </w:rPr>
        <w:t>1</w:t>
      </w:r>
      <w:r w:rsidR="00F16B86">
        <w:rPr>
          <w:rFonts w:cs="Arial"/>
          <w:b/>
          <w:bCs/>
        </w:rPr>
        <w:t>60</w:t>
      </w:r>
      <w:r w:rsidR="00567793" w:rsidRPr="00D33A20">
        <w:rPr>
          <w:rFonts w:cs="Arial"/>
          <w:b/>
          <w:bCs/>
        </w:rPr>
        <w:t>k</w:t>
      </w:r>
      <w:r w:rsidR="004325B7">
        <w:rPr>
          <w:rFonts w:cs="Arial"/>
          <w:b/>
          <w:bCs/>
        </w:rPr>
        <w:t xml:space="preserve"> per annum</w:t>
      </w:r>
      <w:r w:rsidR="00EA634C" w:rsidRPr="00D33A20">
        <w:rPr>
          <w:rFonts w:cs="Arial"/>
        </w:rPr>
        <w:t xml:space="preserve"> The council has increased the amount of clienting of ODS in monitoring the way that </w:t>
      </w:r>
      <w:r w:rsidR="00763436" w:rsidRPr="00D33A20">
        <w:rPr>
          <w:rFonts w:cs="Arial"/>
        </w:rPr>
        <w:t>it carries out statutory services for the council in the following areas</w:t>
      </w:r>
    </w:p>
    <w:p w14:paraId="0688CB3B" w14:textId="1B6DF646" w:rsidR="0072576C" w:rsidRPr="00D33A20" w:rsidRDefault="001B649B" w:rsidP="00712800">
      <w:pPr>
        <w:pStyle w:val="ListParagraph"/>
        <w:numPr>
          <w:ilvl w:val="1"/>
          <w:numId w:val="27"/>
        </w:numPr>
        <w:ind w:right="386"/>
        <w:rPr>
          <w:rFonts w:cs="Arial"/>
        </w:rPr>
      </w:pPr>
      <w:r w:rsidRPr="00D33A20">
        <w:rPr>
          <w:rFonts w:cs="Arial"/>
        </w:rPr>
        <w:t>£50K</w:t>
      </w:r>
      <w:r w:rsidR="004325B7">
        <w:rPr>
          <w:rFonts w:cs="Arial"/>
        </w:rPr>
        <w:t xml:space="preserve"> per annum</w:t>
      </w:r>
      <w:r w:rsidRPr="00D33A20">
        <w:rPr>
          <w:rFonts w:cs="Arial"/>
        </w:rPr>
        <w:t xml:space="preserve"> in relation to Section 42 </w:t>
      </w:r>
      <w:r w:rsidR="0072576C" w:rsidRPr="00D33A20">
        <w:rPr>
          <w:rFonts w:cs="Arial"/>
        </w:rPr>
        <w:t xml:space="preserve">and other works within the public highway. </w:t>
      </w:r>
    </w:p>
    <w:p w14:paraId="67869F78" w14:textId="77777777" w:rsidR="00F16B86" w:rsidRDefault="0059008D" w:rsidP="00712800">
      <w:pPr>
        <w:pStyle w:val="ListParagraph"/>
        <w:numPr>
          <w:ilvl w:val="1"/>
          <w:numId w:val="27"/>
        </w:numPr>
        <w:ind w:right="386"/>
        <w:rPr>
          <w:rFonts w:cs="Arial"/>
        </w:rPr>
      </w:pPr>
      <w:r w:rsidRPr="00D33A20">
        <w:rPr>
          <w:rFonts w:cs="Arial"/>
        </w:rPr>
        <w:t xml:space="preserve">Green spaces </w:t>
      </w:r>
      <w:r w:rsidR="00C5651F" w:rsidRPr="00D33A20">
        <w:rPr>
          <w:rFonts w:cs="Arial"/>
        </w:rPr>
        <w:t xml:space="preserve">manager to manage ODS and </w:t>
      </w:r>
      <w:r w:rsidR="00684E02" w:rsidRPr="00D33A20">
        <w:rPr>
          <w:rFonts w:cs="Arial"/>
        </w:rPr>
        <w:t>OCC in areas such as trees, waterway and play equipment.</w:t>
      </w:r>
      <w:r w:rsidR="00567793" w:rsidRPr="00D33A20">
        <w:rPr>
          <w:rFonts w:cs="Arial"/>
        </w:rPr>
        <w:t>- £70k</w:t>
      </w:r>
      <w:r w:rsidR="004325B7">
        <w:rPr>
          <w:rFonts w:cs="Arial"/>
        </w:rPr>
        <w:t xml:space="preserve"> per annum</w:t>
      </w:r>
    </w:p>
    <w:p w14:paraId="4B045CBF" w14:textId="0B1B0DCA" w:rsidR="00763436" w:rsidRPr="00F16B86" w:rsidRDefault="00F16B86" w:rsidP="00712800">
      <w:pPr>
        <w:pStyle w:val="ListParagraph"/>
        <w:numPr>
          <w:ilvl w:val="1"/>
          <w:numId w:val="27"/>
        </w:numPr>
        <w:ind w:right="386"/>
        <w:rPr>
          <w:rFonts w:cs="Arial"/>
        </w:rPr>
      </w:pPr>
      <w:r w:rsidRPr="00F16B86">
        <w:rPr>
          <w:rFonts w:cs="Arial"/>
        </w:rPr>
        <w:t>£40k per annum – administrative assistant reporting to the Client and Commissioning Manager</w:t>
      </w:r>
      <w:r w:rsidR="004325B7" w:rsidRPr="00F16B86">
        <w:rPr>
          <w:rFonts w:cs="Arial"/>
        </w:rPr>
        <w:t xml:space="preserve"> </w:t>
      </w:r>
    </w:p>
    <w:p w14:paraId="16360F41" w14:textId="7579C556" w:rsidR="000F3E22" w:rsidRPr="00D33A20" w:rsidRDefault="000F3E22" w:rsidP="00712800">
      <w:pPr>
        <w:pStyle w:val="ListParagraph"/>
        <w:numPr>
          <w:ilvl w:val="0"/>
          <w:numId w:val="27"/>
        </w:numPr>
        <w:ind w:right="386"/>
        <w:rPr>
          <w:rFonts w:cs="Arial"/>
        </w:rPr>
      </w:pPr>
      <w:r w:rsidRPr="00D33A20">
        <w:rPr>
          <w:rFonts w:cs="Arial"/>
          <w:b/>
          <w:bCs/>
        </w:rPr>
        <w:t>Cowley Branch line manger £80k</w:t>
      </w:r>
      <w:r w:rsidRPr="00D33A20">
        <w:rPr>
          <w:rFonts w:cs="Arial"/>
        </w:rPr>
        <w:t xml:space="preserve"> </w:t>
      </w:r>
      <w:r w:rsidR="004325B7">
        <w:rPr>
          <w:rFonts w:cs="Arial"/>
        </w:rPr>
        <w:t xml:space="preserve">per annum </w:t>
      </w:r>
      <w:r w:rsidRPr="00D33A20">
        <w:rPr>
          <w:rFonts w:cs="Arial"/>
        </w:rPr>
        <w:t>funded from Community Infrastructure levy funding</w:t>
      </w:r>
      <w:r w:rsidR="00813BE4">
        <w:rPr>
          <w:rFonts w:cs="Arial"/>
        </w:rPr>
        <w:t>.</w:t>
      </w:r>
      <w:r w:rsidR="004F46A5">
        <w:rPr>
          <w:rFonts w:cs="Arial"/>
        </w:rPr>
        <w:t xml:space="preserve"> In October 2025 the </w:t>
      </w:r>
      <w:r w:rsidR="0082749C">
        <w:rPr>
          <w:rFonts w:cs="Arial"/>
        </w:rPr>
        <w:t>government announced £120m of funding to re-open the Cowley Branch line to passengers and create two new stations at Oxford C</w:t>
      </w:r>
      <w:r w:rsidR="001A4984">
        <w:rPr>
          <w:rFonts w:cs="Arial"/>
        </w:rPr>
        <w:t>owley and Oxford Littlemore in south east oxford. So far £4.4 million has been invested in feasibility work and local partners will be asked to contribute £35</w:t>
      </w:r>
      <w:r w:rsidR="005418BD">
        <w:rPr>
          <w:rFonts w:cs="Arial"/>
        </w:rPr>
        <w:t xml:space="preserve"> </w:t>
      </w:r>
      <w:r w:rsidR="001A4984">
        <w:rPr>
          <w:rFonts w:cs="Arial"/>
        </w:rPr>
        <w:t>million to the total construction cost</w:t>
      </w:r>
      <w:r w:rsidR="00A41B30">
        <w:rPr>
          <w:rFonts w:cs="Arial"/>
        </w:rPr>
        <w:t xml:space="preserve">. </w:t>
      </w:r>
    </w:p>
    <w:p w14:paraId="449C74EC" w14:textId="50EBCCF7" w:rsidR="0070486A" w:rsidRPr="00D33A20" w:rsidRDefault="0070486A" w:rsidP="00712800">
      <w:pPr>
        <w:pStyle w:val="ListParagraph"/>
        <w:numPr>
          <w:ilvl w:val="0"/>
          <w:numId w:val="27"/>
        </w:numPr>
        <w:ind w:right="386"/>
        <w:rPr>
          <w:rFonts w:cs="Arial"/>
        </w:rPr>
      </w:pPr>
      <w:r w:rsidRPr="00650F83">
        <w:rPr>
          <w:rFonts w:cs="Arial"/>
          <w:b/>
          <w:bCs/>
        </w:rPr>
        <w:t>Additional legal resource £100k</w:t>
      </w:r>
      <w:r w:rsidRPr="00D33A20">
        <w:rPr>
          <w:rFonts w:cs="Arial"/>
        </w:rPr>
        <w:t xml:space="preserve"> </w:t>
      </w:r>
      <w:r w:rsidR="004325B7">
        <w:rPr>
          <w:rFonts w:cs="Arial"/>
        </w:rPr>
        <w:t xml:space="preserve">per annum </w:t>
      </w:r>
      <w:r w:rsidRPr="00D33A20">
        <w:rPr>
          <w:rFonts w:cs="Arial"/>
        </w:rPr>
        <w:t>to assist with property transactions</w:t>
      </w:r>
    </w:p>
    <w:p w14:paraId="1D94960C" w14:textId="3F8D290D" w:rsidR="00A13F93" w:rsidRPr="00D33A20" w:rsidRDefault="00A13F93" w:rsidP="00712800">
      <w:pPr>
        <w:pStyle w:val="ListParagraph"/>
        <w:numPr>
          <w:ilvl w:val="0"/>
          <w:numId w:val="27"/>
        </w:numPr>
        <w:ind w:right="386"/>
        <w:rPr>
          <w:rFonts w:cs="Arial"/>
        </w:rPr>
      </w:pPr>
      <w:r w:rsidRPr="00D33A20">
        <w:rPr>
          <w:rFonts w:cs="Arial"/>
          <w:b/>
          <w:bCs/>
        </w:rPr>
        <w:t xml:space="preserve">2 new officers in </w:t>
      </w:r>
      <w:r w:rsidR="00A67A45" w:rsidRPr="00D33A20">
        <w:rPr>
          <w:rFonts w:cs="Arial"/>
          <w:b/>
          <w:bCs/>
        </w:rPr>
        <w:t xml:space="preserve">the </w:t>
      </w:r>
      <w:r w:rsidR="00CC6EA4" w:rsidRPr="00D33A20">
        <w:rPr>
          <w:rFonts w:cs="Arial"/>
          <w:b/>
          <w:bCs/>
        </w:rPr>
        <w:t>Community</w:t>
      </w:r>
      <w:r w:rsidR="00A67A45" w:rsidRPr="00D33A20">
        <w:rPr>
          <w:rFonts w:cs="Arial"/>
          <w:b/>
          <w:bCs/>
        </w:rPr>
        <w:t xml:space="preserve"> Safety </w:t>
      </w:r>
      <w:r w:rsidR="00C138DB" w:rsidRPr="00D33A20">
        <w:rPr>
          <w:rFonts w:cs="Arial"/>
          <w:b/>
          <w:bCs/>
        </w:rPr>
        <w:t xml:space="preserve">Complex case </w:t>
      </w:r>
      <w:r w:rsidR="00A67A45" w:rsidRPr="00D33A20">
        <w:rPr>
          <w:rFonts w:cs="Arial"/>
          <w:b/>
          <w:bCs/>
        </w:rPr>
        <w:t>Team £120k</w:t>
      </w:r>
      <w:r w:rsidR="00395394" w:rsidRPr="00D33A20">
        <w:rPr>
          <w:rFonts w:cs="Arial"/>
          <w:b/>
          <w:bCs/>
        </w:rPr>
        <w:t xml:space="preserve"> </w:t>
      </w:r>
      <w:r w:rsidR="004325B7">
        <w:rPr>
          <w:rFonts w:cs="Arial"/>
          <w:b/>
          <w:bCs/>
        </w:rPr>
        <w:t xml:space="preserve">per annum </w:t>
      </w:r>
      <w:r w:rsidR="00395394" w:rsidRPr="00D33A20">
        <w:rPr>
          <w:rFonts w:cs="Arial"/>
          <w:b/>
          <w:bCs/>
        </w:rPr>
        <w:t xml:space="preserve">to </w:t>
      </w:r>
      <w:r w:rsidR="00395394" w:rsidRPr="00D33A20">
        <w:rPr>
          <w:rFonts w:cs="Arial"/>
        </w:rPr>
        <w:t xml:space="preserve">deal with </w:t>
      </w:r>
      <w:r w:rsidR="00E0077E" w:rsidRPr="00D33A20">
        <w:rPr>
          <w:rFonts w:cs="Arial"/>
        </w:rPr>
        <w:t>anti-social</w:t>
      </w:r>
      <w:r w:rsidR="00395394" w:rsidRPr="00D33A20">
        <w:rPr>
          <w:rFonts w:cs="Arial"/>
        </w:rPr>
        <w:t xml:space="preserve"> </w:t>
      </w:r>
      <w:r w:rsidR="00E426EC" w:rsidRPr="00D33A20">
        <w:rPr>
          <w:rFonts w:cs="Arial"/>
        </w:rPr>
        <w:t>behaviours</w:t>
      </w:r>
      <w:r w:rsidR="00395394" w:rsidRPr="00D33A20">
        <w:rPr>
          <w:rFonts w:cs="Arial"/>
        </w:rPr>
        <w:t xml:space="preserve"> and exploitation in the vulnerability </w:t>
      </w:r>
      <w:r w:rsidR="00395394" w:rsidRPr="00D33A20">
        <w:rPr>
          <w:rFonts w:cs="Arial"/>
        </w:rPr>
        <w:lastRenderedPageBreak/>
        <w:t>housed community</w:t>
      </w:r>
      <w:r w:rsidR="00DC2F24" w:rsidRPr="00D33A20">
        <w:rPr>
          <w:rFonts w:cs="Arial"/>
        </w:rPr>
        <w:t>,</w:t>
      </w:r>
      <w:r w:rsidR="00A67A45" w:rsidRPr="00D33A20">
        <w:rPr>
          <w:rFonts w:cs="Arial"/>
        </w:rPr>
        <w:t xml:space="preserve"> funded from </w:t>
      </w:r>
      <w:r w:rsidR="00CC6EA4" w:rsidRPr="00D33A20">
        <w:rPr>
          <w:rFonts w:cs="Arial"/>
        </w:rPr>
        <w:t>HRA £</w:t>
      </w:r>
      <w:r w:rsidR="008153F2">
        <w:rPr>
          <w:rFonts w:cs="Arial"/>
        </w:rPr>
        <w:t>80</w:t>
      </w:r>
      <w:r w:rsidR="00CC6EA4" w:rsidRPr="00D33A20">
        <w:rPr>
          <w:rFonts w:cs="Arial"/>
        </w:rPr>
        <w:t>K and the Rough Sleepers Homelessness Grant</w:t>
      </w:r>
      <w:r w:rsidR="008153F2">
        <w:rPr>
          <w:rFonts w:cs="Arial"/>
        </w:rPr>
        <w:t xml:space="preserve"> (£40k)</w:t>
      </w:r>
    </w:p>
    <w:p w14:paraId="357F2098" w14:textId="132C2F14" w:rsidR="00CC6EA4" w:rsidRPr="00D33A20" w:rsidRDefault="00800810" w:rsidP="00712800">
      <w:pPr>
        <w:pStyle w:val="ListParagraph"/>
        <w:numPr>
          <w:ilvl w:val="0"/>
          <w:numId w:val="27"/>
        </w:numPr>
        <w:ind w:right="386"/>
        <w:rPr>
          <w:rFonts w:cs="Arial"/>
        </w:rPr>
      </w:pPr>
      <w:r w:rsidRPr="00D33A20">
        <w:rPr>
          <w:rFonts w:cs="Arial"/>
          <w:b/>
          <w:bCs/>
        </w:rPr>
        <w:t>3 new Community Response Officers £150k</w:t>
      </w:r>
      <w:r w:rsidRPr="00D33A20">
        <w:rPr>
          <w:rFonts w:cs="Arial"/>
        </w:rPr>
        <w:t xml:space="preserve"> </w:t>
      </w:r>
      <w:r w:rsidR="004325B7">
        <w:rPr>
          <w:rFonts w:cs="Arial"/>
        </w:rPr>
        <w:t xml:space="preserve">per annum </w:t>
      </w:r>
      <w:r w:rsidRPr="00D33A20">
        <w:rPr>
          <w:rFonts w:cs="Arial"/>
        </w:rPr>
        <w:t xml:space="preserve">funded by the HRA to provide greater </w:t>
      </w:r>
      <w:r w:rsidR="002552BB" w:rsidRPr="00D33A20">
        <w:rPr>
          <w:rFonts w:cs="Arial"/>
        </w:rPr>
        <w:t>presence</w:t>
      </w:r>
      <w:r w:rsidRPr="00D33A20">
        <w:rPr>
          <w:rFonts w:cs="Arial"/>
        </w:rPr>
        <w:t xml:space="preserve"> </w:t>
      </w:r>
      <w:r w:rsidR="00433BBE" w:rsidRPr="00D33A20">
        <w:rPr>
          <w:rFonts w:cs="Arial"/>
        </w:rPr>
        <w:t xml:space="preserve">and address </w:t>
      </w:r>
      <w:r w:rsidR="002552BB" w:rsidRPr="00D33A20">
        <w:rPr>
          <w:rFonts w:cs="Arial"/>
        </w:rPr>
        <w:t>environmental</w:t>
      </w:r>
      <w:r w:rsidR="00433BBE" w:rsidRPr="00D33A20">
        <w:rPr>
          <w:rFonts w:cs="Arial"/>
        </w:rPr>
        <w:t xml:space="preserve"> crime and community </w:t>
      </w:r>
      <w:r w:rsidR="00E426EC" w:rsidRPr="00D33A20">
        <w:rPr>
          <w:rFonts w:cs="Arial"/>
        </w:rPr>
        <w:t>safety</w:t>
      </w:r>
      <w:r w:rsidR="003917DD" w:rsidRPr="00D33A20">
        <w:rPr>
          <w:rFonts w:cs="Arial"/>
        </w:rPr>
        <w:t xml:space="preserve"> in our housing areas. </w:t>
      </w:r>
    </w:p>
    <w:p w14:paraId="28106697" w14:textId="11DE18CB" w:rsidR="003917DD" w:rsidRPr="00D33A20" w:rsidRDefault="003917DD" w:rsidP="00712800">
      <w:pPr>
        <w:pStyle w:val="ListParagraph"/>
        <w:numPr>
          <w:ilvl w:val="0"/>
          <w:numId w:val="27"/>
        </w:numPr>
        <w:ind w:right="386"/>
        <w:rPr>
          <w:rFonts w:cs="Arial"/>
        </w:rPr>
      </w:pPr>
      <w:r w:rsidRPr="00D33A20">
        <w:rPr>
          <w:rFonts w:cs="Arial"/>
          <w:b/>
          <w:bCs/>
        </w:rPr>
        <w:t xml:space="preserve">General licensing team </w:t>
      </w:r>
      <w:r w:rsidR="0070510B" w:rsidRPr="00D33A20">
        <w:rPr>
          <w:rFonts w:cs="Arial"/>
          <w:b/>
          <w:bCs/>
        </w:rPr>
        <w:t>£45k</w:t>
      </w:r>
      <w:r w:rsidR="004325B7">
        <w:rPr>
          <w:rFonts w:cs="Arial"/>
          <w:b/>
          <w:bCs/>
        </w:rPr>
        <w:t xml:space="preserve"> per annum</w:t>
      </w:r>
      <w:r w:rsidRPr="00D33A20">
        <w:rPr>
          <w:rFonts w:cs="Arial"/>
          <w:b/>
          <w:bCs/>
        </w:rPr>
        <w:t xml:space="preserve">– </w:t>
      </w:r>
      <w:r w:rsidRPr="00D33A20">
        <w:rPr>
          <w:rFonts w:cs="Arial"/>
        </w:rPr>
        <w:t>1 fte</w:t>
      </w:r>
      <w:r w:rsidR="0070510B" w:rsidRPr="00D33A20">
        <w:rPr>
          <w:rFonts w:cs="Arial"/>
        </w:rPr>
        <w:t xml:space="preserve"> to deal with increased workloads, funded by increased licensing income</w:t>
      </w:r>
    </w:p>
    <w:p w14:paraId="7068165A" w14:textId="28F9F5FF" w:rsidR="002F1C61" w:rsidRPr="00D33A20" w:rsidRDefault="002F1C61" w:rsidP="00712800">
      <w:pPr>
        <w:pStyle w:val="ListParagraph"/>
        <w:numPr>
          <w:ilvl w:val="0"/>
          <w:numId w:val="27"/>
        </w:numPr>
        <w:ind w:right="386"/>
        <w:rPr>
          <w:rFonts w:cs="Arial"/>
        </w:rPr>
      </w:pPr>
      <w:r w:rsidRPr="00D33A20">
        <w:rPr>
          <w:rFonts w:cs="Arial"/>
          <w:b/>
          <w:bCs/>
        </w:rPr>
        <w:t>ICT -</w:t>
      </w:r>
      <w:r w:rsidRPr="00D33A20">
        <w:rPr>
          <w:rFonts w:cs="Arial"/>
        </w:rPr>
        <w:t xml:space="preserve"> £1.119 million</w:t>
      </w:r>
      <w:r w:rsidR="001057F7" w:rsidRPr="00D33A20">
        <w:rPr>
          <w:rFonts w:cs="Arial"/>
        </w:rPr>
        <w:t xml:space="preserve"> </w:t>
      </w:r>
      <w:r w:rsidR="004325B7">
        <w:rPr>
          <w:rFonts w:cs="Arial"/>
        </w:rPr>
        <w:t>per annu</w:t>
      </w:r>
      <w:r w:rsidR="00E0077E">
        <w:rPr>
          <w:rFonts w:cs="Arial"/>
        </w:rPr>
        <w:t>m</w:t>
      </w:r>
      <w:r w:rsidR="004325B7">
        <w:rPr>
          <w:rFonts w:cs="Arial"/>
        </w:rPr>
        <w:t xml:space="preserve"> </w:t>
      </w:r>
      <w:r w:rsidR="001057F7" w:rsidRPr="00D33A20">
        <w:rPr>
          <w:rFonts w:cs="Arial"/>
        </w:rPr>
        <w:t xml:space="preserve">increased costs arising from </w:t>
      </w:r>
    </w:p>
    <w:p w14:paraId="0E3E05C0" w14:textId="1D84589D" w:rsidR="001057F7" w:rsidRPr="00D33A20" w:rsidRDefault="008779C3" w:rsidP="00712800">
      <w:pPr>
        <w:pStyle w:val="ListParagraph"/>
        <w:numPr>
          <w:ilvl w:val="1"/>
          <w:numId w:val="27"/>
        </w:numPr>
        <w:ind w:right="386"/>
        <w:rPr>
          <w:rFonts w:cs="Arial"/>
        </w:rPr>
      </w:pPr>
      <w:r w:rsidRPr="00D33A20">
        <w:rPr>
          <w:rFonts w:cs="Arial"/>
        </w:rPr>
        <w:t>Double running of the telephony contract</w:t>
      </w:r>
      <w:r w:rsidR="007E1C1C" w:rsidRPr="00D33A20">
        <w:rPr>
          <w:rFonts w:cs="Arial"/>
        </w:rPr>
        <w:t xml:space="preserve"> £71k</w:t>
      </w:r>
    </w:p>
    <w:p w14:paraId="338DACAD" w14:textId="3E7E2921" w:rsidR="008779C3" w:rsidRPr="00D33A20" w:rsidRDefault="008779C3" w:rsidP="00712800">
      <w:pPr>
        <w:pStyle w:val="ListParagraph"/>
        <w:numPr>
          <w:ilvl w:val="1"/>
          <w:numId w:val="27"/>
        </w:numPr>
        <w:ind w:right="386"/>
        <w:rPr>
          <w:rFonts w:cs="Arial"/>
        </w:rPr>
      </w:pPr>
      <w:r w:rsidRPr="00D33A20">
        <w:rPr>
          <w:rFonts w:cs="Arial"/>
        </w:rPr>
        <w:t>ICT license</w:t>
      </w:r>
      <w:r w:rsidR="00105480" w:rsidRPr="00D33A20">
        <w:rPr>
          <w:rFonts w:cs="Arial"/>
        </w:rPr>
        <w:t xml:space="preserve">s </w:t>
      </w:r>
      <w:r w:rsidR="006D6D2E" w:rsidRPr="00D33A20">
        <w:rPr>
          <w:rFonts w:cs="Arial"/>
        </w:rPr>
        <w:t xml:space="preserve">cost uplifts </w:t>
      </w:r>
      <w:r w:rsidR="00105480" w:rsidRPr="00D33A20">
        <w:rPr>
          <w:rFonts w:cs="Arial"/>
        </w:rPr>
        <w:t>£</w:t>
      </w:r>
      <w:r w:rsidR="006D6D2E" w:rsidRPr="00D33A20">
        <w:rPr>
          <w:rFonts w:cs="Arial"/>
        </w:rPr>
        <w:t>354</w:t>
      </w:r>
      <w:r w:rsidR="00105480" w:rsidRPr="00D33A20">
        <w:rPr>
          <w:rFonts w:cs="Arial"/>
        </w:rPr>
        <w:t>k</w:t>
      </w:r>
    </w:p>
    <w:p w14:paraId="09590DDB" w14:textId="0FDC9E2F" w:rsidR="00105480" w:rsidRPr="00D33A20" w:rsidRDefault="00105480" w:rsidP="00712800">
      <w:pPr>
        <w:pStyle w:val="ListParagraph"/>
        <w:numPr>
          <w:ilvl w:val="1"/>
          <w:numId w:val="27"/>
        </w:numPr>
        <w:ind w:right="386"/>
        <w:rPr>
          <w:rFonts w:cs="Arial"/>
        </w:rPr>
      </w:pPr>
      <w:r w:rsidRPr="00D33A20">
        <w:rPr>
          <w:rFonts w:cs="Arial"/>
        </w:rPr>
        <w:t xml:space="preserve">Increased cost of </w:t>
      </w:r>
      <w:r w:rsidR="009B79BA" w:rsidRPr="00D33A20">
        <w:rPr>
          <w:rFonts w:cs="Arial"/>
        </w:rPr>
        <w:t>cloud-based</w:t>
      </w:r>
      <w:r w:rsidRPr="00D33A20">
        <w:rPr>
          <w:rFonts w:cs="Arial"/>
        </w:rPr>
        <w:t xml:space="preserve"> technology - </w:t>
      </w:r>
      <w:r w:rsidR="007E1C1C" w:rsidRPr="00D33A20">
        <w:rPr>
          <w:rFonts w:cs="Arial"/>
        </w:rPr>
        <w:t>£182k</w:t>
      </w:r>
    </w:p>
    <w:p w14:paraId="58999D29" w14:textId="43AF5641" w:rsidR="00D664BA" w:rsidRPr="00D33A20" w:rsidRDefault="009B79BA" w:rsidP="00712800">
      <w:pPr>
        <w:pStyle w:val="ListParagraph"/>
        <w:numPr>
          <w:ilvl w:val="1"/>
          <w:numId w:val="27"/>
        </w:numPr>
        <w:ind w:right="386"/>
        <w:rPr>
          <w:rFonts w:cs="Arial"/>
        </w:rPr>
      </w:pPr>
      <w:r w:rsidRPr="00D33A20">
        <w:rPr>
          <w:rFonts w:cs="Arial"/>
        </w:rPr>
        <w:t>Running</w:t>
      </w:r>
      <w:r w:rsidR="00D664BA" w:rsidRPr="00D33A20">
        <w:rPr>
          <w:rFonts w:cs="Arial"/>
        </w:rPr>
        <w:t xml:space="preserve"> costs for new Asset Management System - £175k</w:t>
      </w:r>
    </w:p>
    <w:p w14:paraId="34A0F269" w14:textId="4C47A4EA" w:rsidR="00D664BA" w:rsidRPr="00D33A20" w:rsidRDefault="00CA63F1" w:rsidP="00712800">
      <w:pPr>
        <w:pStyle w:val="ListParagraph"/>
        <w:numPr>
          <w:ilvl w:val="1"/>
          <w:numId w:val="27"/>
        </w:numPr>
        <w:ind w:right="386"/>
        <w:rPr>
          <w:rFonts w:cs="Arial"/>
        </w:rPr>
      </w:pPr>
      <w:r w:rsidRPr="00D33A20">
        <w:rPr>
          <w:rFonts w:cs="Arial"/>
        </w:rPr>
        <w:t xml:space="preserve">Data storage costs </w:t>
      </w:r>
      <w:r w:rsidR="00E00031" w:rsidRPr="00D33A20">
        <w:rPr>
          <w:rFonts w:cs="Arial"/>
        </w:rPr>
        <w:t>for QL, DRS and Civica in Azure cloud - £300k</w:t>
      </w:r>
    </w:p>
    <w:p w14:paraId="3BF5C465" w14:textId="090F58F4" w:rsidR="00E00031" w:rsidRPr="00D33A20" w:rsidRDefault="00E00031" w:rsidP="006D6D2E">
      <w:pPr>
        <w:pStyle w:val="ListParagraph"/>
        <w:ind w:left="1581" w:right="386"/>
        <w:rPr>
          <w:rFonts w:cs="Arial"/>
        </w:rPr>
      </w:pPr>
    </w:p>
    <w:p w14:paraId="40FF8AB4" w14:textId="66AB7F35" w:rsidR="00550EA0" w:rsidRPr="00D33A20" w:rsidRDefault="00550EA0" w:rsidP="00712800">
      <w:pPr>
        <w:pStyle w:val="ListParagraph"/>
        <w:numPr>
          <w:ilvl w:val="0"/>
          <w:numId w:val="27"/>
        </w:numPr>
        <w:ind w:right="386"/>
        <w:rPr>
          <w:rFonts w:cs="Arial"/>
        </w:rPr>
      </w:pPr>
      <w:r w:rsidRPr="00D33A20">
        <w:rPr>
          <w:rFonts w:cs="Arial"/>
        </w:rPr>
        <w:t xml:space="preserve">Additional resource in </w:t>
      </w:r>
      <w:r w:rsidRPr="00FD2934">
        <w:rPr>
          <w:rFonts w:cs="Arial"/>
          <w:b/>
          <w:bCs/>
        </w:rPr>
        <w:t xml:space="preserve">health and safety </w:t>
      </w:r>
      <w:r w:rsidR="00DC5E47" w:rsidRPr="00FD2934">
        <w:rPr>
          <w:rFonts w:cs="Arial"/>
          <w:b/>
          <w:bCs/>
        </w:rPr>
        <w:t>team</w:t>
      </w:r>
      <w:r w:rsidR="00DC5E47" w:rsidRPr="00D33A20">
        <w:rPr>
          <w:rFonts w:cs="Arial"/>
        </w:rPr>
        <w:t xml:space="preserve"> - £14k (0.2 fte)</w:t>
      </w:r>
      <w:r w:rsidR="004325B7">
        <w:rPr>
          <w:rFonts w:cs="Arial"/>
        </w:rPr>
        <w:t xml:space="preserve"> per annum</w:t>
      </w:r>
    </w:p>
    <w:p w14:paraId="731FAA50" w14:textId="24B7B2B8" w:rsidR="00410358" w:rsidRPr="00D33A20" w:rsidRDefault="00410358" w:rsidP="00712800">
      <w:pPr>
        <w:pStyle w:val="ListParagraph"/>
        <w:numPr>
          <w:ilvl w:val="0"/>
          <w:numId w:val="27"/>
        </w:numPr>
        <w:ind w:right="386"/>
        <w:rPr>
          <w:rFonts w:cs="Arial"/>
        </w:rPr>
      </w:pPr>
      <w:r w:rsidRPr="00D33A20">
        <w:rPr>
          <w:rFonts w:cs="Arial"/>
        </w:rPr>
        <w:t>Inc</w:t>
      </w:r>
      <w:r w:rsidR="00A901F7" w:rsidRPr="00D33A20">
        <w:rPr>
          <w:rFonts w:cs="Arial"/>
        </w:rPr>
        <w:t>r</w:t>
      </w:r>
      <w:r w:rsidRPr="00D33A20">
        <w:rPr>
          <w:rFonts w:cs="Arial"/>
        </w:rPr>
        <w:t xml:space="preserve">eased staffing in </w:t>
      </w:r>
      <w:r w:rsidRPr="00FD2934">
        <w:rPr>
          <w:rFonts w:cs="Arial"/>
          <w:b/>
          <w:bCs/>
        </w:rPr>
        <w:t>events team</w:t>
      </w:r>
      <w:r w:rsidRPr="00D33A20">
        <w:rPr>
          <w:rFonts w:cs="Arial"/>
        </w:rPr>
        <w:t xml:space="preserve"> </w:t>
      </w:r>
      <w:r w:rsidR="00A901F7" w:rsidRPr="00D33A20">
        <w:rPr>
          <w:rFonts w:cs="Arial"/>
        </w:rPr>
        <w:t>£50k</w:t>
      </w:r>
      <w:r w:rsidR="004325B7">
        <w:rPr>
          <w:rFonts w:cs="Arial"/>
        </w:rPr>
        <w:t xml:space="preserve"> per annum</w:t>
      </w:r>
      <w:r w:rsidR="0074186F">
        <w:rPr>
          <w:rFonts w:cs="Arial"/>
        </w:rPr>
        <w:t xml:space="preserve"> – this is needed to deliver income anticipated by the MTFS</w:t>
      </w:r>
    </w:p>
    <w:p w14:paraId="4DAE8226" w14:textId="5FF81862" w:rsidR="00A901F7" w:rsidRPr="00D33A20" w:rsidRDefault="00195CE1" w:rsidP="00712800">
      <w:pPr>
        <w:pStyle w:val="ListParagraph"/>
        <w:numPr>
          <w:ilvl w:val="0"/>
          <w:numId w:val="27"/>
        </w:numPr>
        <w:ind w:right="386"/>
        <w:rPr>
          <w:rFonts w:cs="Arial"/>
        </w:rPr>
      </w:pPr>
      <w:r w:rsidRPr="00FD2934">
        <w:rPr>
          <w:rFonts w:cs="Arial"/>
          <w:b/>
          <w:bCs/>
        </w:rPr>
        <w:t>Additional data</w:t>
      </w:r>
      <w:r w:rsidR="0013609D" w:rsidRPr="00FD2934">
        <w:rPr>
          <w:rFonts w:cs="Arial"/>
          <w:b/>
          <w:bCs/>
        </w:rPr>
        <w:t xml:space="preserve"> analyst for LGR</w:t>
      </w:r>
      <w:r w:rsidR="0013609D" w:rsidRPr="00D33A20">
        <w:rPr>
          <w:rFonts w:cs="Arial"/>
        </w:rPr>
        <w:t xml:space="preserve"> work from 2027-28 onwards £52k</w:t>
      </w:r>
      <w:r w:rsidR="004325B7">
        <w:rPr>
          <w:rFonts w:cs="Arial"/>
        </w:rPr>
        <w:t xml:space="preserve"> per annum</w:t>
      </w:r>
    </w:p>
    <w:p w14:paraId="3AF96B22" w14:textId="1A8E688E" w:rsidR="00F538CC" w:rsidRPr="00D33A20" w:rsidRDefault="00541247" w:rsidP="00712800">
      <w:pPr>
        <w:pStyle w:val="ListParagraph"/>
        <w:numPr>
          <w:ilvl w:val="0"/>
          <w:numId w:val="27"/>
        </w:numPr>
        <w:ind w:right="386"/>
        <w:rPr>
          <w:rFonts w:cs="Arial"/>
        </w:rPr>
      </w:pPr>
      <w:r w:rsidRPr="00FD2934">
        <w:rPr>
          <w:rFonts w:cs="Arial"/>
          <w:b/>
          <w:bCs/>
        </w:rPr>
        <w:t>Extended</w:t>
      </w:r>
      <w:r w:rsidR="00F538CC" w:rsidRPr="00FD2934">
        <w:rPr>
          <w:rFonts w:cs="Arial"/>
          <w:b/>
          <w:bCs/>
        </w:rPr>
        <w:t xml:space="preserve"> opening hours in H</w:t>
      </w:r>
      <w:r w:rsidRPr="00FD2934">
        <w:rPr>
          <w:rFonts w:cs="Arial"/>
          <w:b/>
          <w:bCs/>
        </w:rPr>
        <w:t>in</w:t>
      </w:r>
      <w:r w:rsidR="00F538CC" w:rsidRPr="00FD2934">
        <w:rPr>
          <w:rFonts w:cs="Arial"/>
          <w:b/>
          <w:bCs/>
        </w:rPr>
        <w:t xml:space="preserve">ksey </w:t>
      </w:r>
      <w:r w:rsidR="0074186F">
        <w:rPr>
          <w:rFonts w:cs="Arial"/>
          <w:b/>
          <w:bCs/>
        </w:rPr>
        <w:t>Pool</w:t>
      </w:r>
      <w:r w:rsidR="0074186F" w:rsidRPr="00D33A20">
        <w:rPr>
          <w:rFonts w:cs="Arial"/>
        </w:rPr>
        <w:t xml:space="preserve"> </w:t>
      </w:r>
      <w:r w:rsidR="00D80583" w:rsidRPr="00D33A20">
        <w:rPr>
          <w:rFonts w:cs="Arial"/>
        </w:rPr>
        <w:t>to include March and October - £63k</w:t>
      </w:r>
      <w:r w:rsidR="004325B7">
        <w:rPr>
          <w:rFonts w:cs="Arial"/>
        </w:rPr>
        <w:t xml:space="preserve"> per annum</w:t>
      </w:r>
    </w:p>
    <w:p w14:paraId="1867F215" w14:textId="22529AB9" w:rsidR="00D80583" w:rsidRPr="00D33A20" w:rsidRDefault="00541247" w:rsidP="00712800">
      <w:pPr>
        <w:pStyle w:val="ListParagraph"/>
        <w:numPr>
          <w:ilvl w:val="0"/>
          <w:numId w:val="27"/>
        </w:numPr>
        <w:ind w:right="386"/>
        <w:rPr>
          <w:rFonts w:cs="Arial"/>
        </w:rPr>
      </w:pPr>
      <w:r w:rsidRPr="00FD2934">
        <w:rPr>
          <w:rFonts w:cs="Arial"/>
          <w:b/>
          <w:bCs/>
        </w:rPr>
        <w:t>Introduction</w:t>
      </w:r>
      <w:r w:rsidR="00D80583" w:rsidRPr="00FD2934">
        <w:rPr>
          <w:rFonts w:cs="Arial"/>
          <w:b/>
          <w:bCs/>
        </w:rPr>
        <w:t xml:space="preserve"> of creche into Blackbird Leys</w:t>
      </w:r>
      <w:r w:rsidR="00D80583" w:rsidRPr="00D33A20">
        <w:rPr>
          <w:rFonts w:cs="Arial"/>
        </w:rPr>
        <w:t xml:space="preserve"> </w:t>
      </w:r>
      <w:r w:rsidR="0074186F" w:rsidRPr="00712800">
        <w:rPr>
          <w:rFonts w:cs="Arial"/>
          <w:b/>
          <w:bCs/>
        </w:rPr>
        <w:t>Leisure Centre</w:t>
      </w:r>
      <w:r w:rsidR="00D80583" w:rsidRPr="00712800">
        <w:rPr>
          <w:rFonts w:cs="Arial"/>
          <w:b/>
          <w:bCs/>
        </w:rPr>
        <w:t>-</w:t>
      </w:r>
      <w:r w:rsidR="00D80583" w:rsidRPr="00D33A20">
        <w:rPr>
          <w:rFonts w:cs="Arial"/>
        </w:rPr>
        <w:t xml:space="preserve"> £37k per annum</w:t>
      </w:r>
    </w:p>
    <w:p w14:paraId="5790341E" w14:textId="467110F9" w:rsidR="002F43C6" w:rsidRPr="00D33A20" w:rsidRDefault="002F43C6" w:rsidP="00712800">
      <w:pPr>
        <w:pStyle w:val="ListParagraph"/>
        <w:numPr>
          <w:ilvl w:val="0"/>
          <w:numId w:val="27"/>
        </w:numPr>
        <w:ind w:right="386"/>
        <w:rPr>
          <w:rFonts w:cs="Arial"/>
        </w:rPr>
      </w:pPr>
      <w:r w:rsidRPr="00FD2934">
        <w:rPr>
          <w:rFonts w:cs="Arial"/>
          <w:b/>
          <w:bCs/>
        </w:rPr>
        <w:t>Broad Street</w:t>
      </w:r>
      <w:r w:rsidRPr="00D33A20">
        <w:rPr>
          <w:rFonts w:cs="Arial"/>
        </w:rPr>
        <w:t xml:space="preserve"> manual cleaning</w:t>
      </w:r>
      <w:r w:rsidR="000B5D87" w:rsidRPr="00D33A20">
        <w:rPr>
          <w:rFonts w:cs="Arial"/>
        </w:rPr>
        <w:t xml:space="preserve"> following changes to road layout</w:t>
      </w:r>
      <w:r w:rsidR="002615E6" w:rsidRPr="00D33A20">
        <w:rPr>
          <w:rFonts w:cs="Arial"/>
        </w:rPr>
        <w:t>- £67k</w:t>
      </w:r>
      <w:r w:rsidR="004325B7">
        <w:rPr>
          <w:rFonts w:cs="Arial"/>
        </w:rPr>
        <w:t xml:space="preserve"> per annum</w:t>
      </w:r>
    </w:p>
    <w:p w14:paraId="14845AE3" w14:textId="27C972FD" w:rsidR="00A7198C" w:rsidRPr="00D33A20" w:rsidRDefault="00A7198C" w:rsidP="00712800">
      <w:pPr>
        <w:pStyle w:val="ListParagraph"/>
        <w:numPr>
          <w:ilvl w:val="0"/>
          <w:numId w:val="27"/>
        </w:numPr>
        <w:ind w:right="386"/>
        <w:rPr>
          <w:rFonts w:cs="Arial"/>
        </w:rPr>
      </w:pPr>
      <w:r w:rsidRPr="00FD2934">
        <w:rPr>
          <w:rFonts w:cs="Arial"/>
          <w:b/>
          <w:bCs/>
        </w:rPr>
        <w:t>Weed spraying</w:t>
      </w:r>
      <w:r w:rsidRPr="00D33A20">
        <w:rPr>
          <w:rFonts w:cs="Arial"/>
        </w:rPr>
        <w:t xml:space="preserve"> for garage forecourts and car parks - £15k</w:t>
      </w:r>
      <w:r w:rsidR="004325B7">
        <w:rPr>
          <w:rFonts w:cs="Arial"/>
        </w:rPr>
        <w:t xml:space="preserve"> per annum</w:t>
      </w:r>
    </w:p>
    <w:p w14:paraId="293CE546" w14:textId="0ADA7184" w:rsidR="008B0800" w:rsidRPr="00D33A20" w:rsidRDefault="002615E6" w:rsidP="00712800">
      <w:pPr>
        <w:pStyle w:val="ListParagraph"/>
        <w:numPr>
          <w:ilvl w:val="0"/>
          <w:numId w:val="27"/>
        </w:numPr>
        <w:ind w:right="386"/>
        <w:rPr>
          <w:rFonts w:cs="Arial"/>
        </w:rPr>
      </w:pPr>
      <w:r w:rsidRPr="00FD2934">
        <w:rPr>
          <w:rFonts w:cs="Arial"/>
          <w:b/>
          <w:bCs/>
        </w:rPr>
        <w:t>Manual cleaning</w:t>
      </w:r>
      <w:r w:rsidRPr="00D33A20">
        <w:rPr>
          <w:rFonts w:cs="Arial"/>
        </w:rPr>
        <w:t xml:space="preserve"> Woodstock, Banbury, </w:t>
      </w:r>
      <w:r w:rsidR="00541247" w:rsidRPr="00D33A20">
        <w:rPr>
          <w:rFonts w:cs="Arial"/>
        </w:rPr>
        <w:t>Cowley</w:t>
      </w:r>
      <w:r w:rsidRPr="00D33A20">
        <w:rPr>
          <w:rFonts w:cs="Arial"/>
        </w:rPr>
        <w:t xml:space="preserve"> roads</w:t>
      </w:r>
      <w:r w:rsidR="008B0800" w:rsidRPr="00D33A20">
        <w:rPr>
          <w:rFonts w:cs="Arial"/>
        </w:rPr>
        <w:t xml:space="preserve"> </w:t>
      </w:r>
      <w:r w:rsidR="00110391" w:rsidRPr="00D33A20">
        <w:rPr>
          <w:rFonts w:cs="Arial"/>
        </w:rPr>
        <w:t>following changes to road and pavement layout</w:t>
      </w:r>
      <w:r w:rsidR="008B0800" w:rsidRPr="00D33A20">
        <w:rPr>
          <w:rFonts w:cs="Arial"/>
        </w:rPr>
        <w:t>-£57k</w:t>
      </w:r>
      <w:r w:rsidR="004325B7">
        <w:rPr>
          <w:rFonts w:cs="Arial"/>
        </w:rPr>
        <w:t xml:space="preserve"> per annum</w:t>
      </w:r>
    </w:p>
    <w:p w14:paraId="27E4EC7D" w14:textId="6A33F59E" w:rsidR="002615E6" w:rsidRPr="00D33A20" w:rsidRDefault="008B0800" w:rsidP="00712800">
      <w:pPr>
        <w:pStyle w:val="ListParagraph"/>
        <w:numPr>
          <w:ilvl w:val="0"/>
          <w:numId w:val="27"/>
        </w:numPr>
        <w:ind w:right="386"/>
        <w:rPr>
          <w:rFonts w:cs="Arial"/>
        </w:rPr>
      </w:pPr>
      <w:r w:rsidRPr="00FD2934">
        <w:rPr>
          <w:rFonts w:cs="Arial"/>
          <w:b/>
          <w:bCs/>
        </w:rPr>
        <w:t xml:space="preserve">Pond cleaning, maintenance of Holywell cemeteries and </w:t>
      </w:r>
      <w:r w:rsidR="00541247" w:rsidRPr="00FD2934">
        <w:rPr>
          <w:rFonts w:cs="Arial"/>
          <w:b/>
          <w:bCs/>
        </w:rPr>
        <w:t>P</w:t>
      </w:r>
      <w:r w:rsidRPr="00FD2934">
        <w:rPr>
          <w:rFonts w:cs="Arial"/>
          <w:b/>
          <w:bCs/>
        </w:rPr>
        <w:t xml:space="preserve">ort </w:t>
      </w:r>
      <w:r w:rsidR="00541247" w:rsidRPr="00FD2934">
        <w:rPr>
          <w:rFonts w:cs="Arial"/>
          <w:b/>
          <w:bCs/>
        </w:rPr>
        <w:t>M</w:t>
      </w:r>
      <w:r w:rsidRPr="00FD2934">
        <w:rPr>
          <w:rFonts w:cs="Arial"/>
          <w:b/>
          <w:bCs/>
        </w:rPr>
        <w:t>eadow litter picking</w:t>
      </w:r>
      <w:r w:rsidRPr="00D33A20">
        <w:rPr>
          <w:rFonts w:cs="Arial"/>
        </w:rPr>
        <w:t xml:space="preserve"> </w:t>
      </w:r>
      <w:r w:rsidR="000B5D87" w:rsidRPr="00D33A20">
        <w:rPr>
          <w:rFonts w:cs="Arial"/>
        </w:rPr>
        <w:t>- £45k</w:t>
      </w:r>
      <w:r w:rsidR="004325B7">
        <w:rPr>
          <w:rFonts w:cs="Arial"/>
        </w:rPr>
        <w:t xml:space="preserve"> per annum</w:t>
      </w:r>
    </w:p>
    <w:p w14:paraId="70A07BFE" w14:textId="79A478FC" w:rsidR="00F87497" w:rsidRPr="00D33A20" w:rsidRDefault="00F87497" w:rsidP="00712800">
      <w:pPr>
        <w:pStyle w:val="ListParagraph"/>
        <w:numPr>
          <w:ilvl w:val="0"/>
          <w:numId w:val="27"/>
        </w:numPr>
        <w:ind w:right="386"/>
        <w:rPr>
          <w:rFonts w:cs="Arial"/>
        </w:rPr>
      </w:pPr>
      <w:r w:rsidRPr="00FD2934">
        <w:rPr>
          <w:rFonts w:cs="Arial"/>
          <w:b/>
          <w:bCs/>
        </w:rPr>
        <w:t>Ecologist - £100k</w:t>
      </w:r>
      <w:r w:rsidRPr="00D33A20">
        <w:rPr>
          <w:rFonts w:cs="Arial"/>
        </w:rPr>
        <w:t xml:space="preserve"> </w:t>
      </w:r>
      <w:r w:rsidR="004325B7">
        <w:rPr>
          <w:rFonts w:cs="Arial"/>
        </w:rPr>
        <w:t xml:space="preserve">per annum. </w:t>
      </w:r>
      <w:r w:rsidR="00216EE2" w:rsidRPr="00D33A20">
        <w:rPr>
          <w:rFonts w:cs="Arial"/>
        </w:rPr>
        <w:t xml:space="preserve">Under the Environment Act 2001 there is a </w:t>
      </w:r>
      <w:r w:rsidR="00D93125" w:rsidRPr="00D33A20">
        <w:rPr>
          <w:rFonts w:cs="Arial"/>
        </w:rPr>
        <w:t>statutory</w:t>
      </w:r>
      <w:r w:rsidR="00216EE2" w:rsidRPr="00D33A20">
        <w:rPr>
          <w:rFonts w:cs="Arial"/>
        </w:rPr>
        <w:t xml:space="preserve"> duty to </w:t>
      </w:r>
      <w:r w:rsidR="00C025C9" w:rsidRPr="00D33A20">
        <w:rPr>
          <w:rFonts w:cs="Arial"/>
        </w:rPr>
        <w:t xml:space="preserve">prepare management action plans for our green spaces and to include protection </w:t>
      </w:r>
      <w:r w:rsidR="00D93125" w:rsidRPr="00D33A20">
        <w:rPr>
          <w:rFonts w:cs="Arial"/>
        </w:rPr>
        <w:t>measures</w:t>
      </w:r>
      <w:r w:rsidR="00C025C9" w:rsidRPr="00D33A20">
        <w:rPr>
          <w:rFonts w:cs="Arial"/>
        </w:rPr>
        <w:t xml:space="preserve"> for protected </w:t>
      </w:r>
      <w:r w:rsidR="00D93125" w:rsidRPr="00D33A20">
        <w:rPr>
          <w:rFonts w:cs="Arial"/>
        </w:rPr>
        <w:t>species</w:t>
      </w:r>
      <w:r w:rsidR="00C025C9" w:rsidRPr="00D33A20">
        <w:rPr>
          <w:rFonts w:cs="Arial"/>
        </w:rPr>
        <w:t xml:space="preserve"> and habitats</w:t>
      </w:r>
      <w:r w:rsidR="00D93125" w:rsidRPr="00D33A20">
        <w:rPr>
          <w:rFonts w:cs="Arial"/>
        </w:rPr>
        <w:t>. There are 1.6fte ecologists in the sustainability team and this will boost their capacity</w:t>
      </w:r>
    </w:p>
    <w:p w14:paraId="0BDC3D0F" w14:textId="474254F3" w:rsidR="00A94BB4" w:rsidRPr="00D33A20" w:rsidRDefault="003431F9" w:rsidP="00712800">
      <w:pPr>
        <w:pStyle w:val="ListParagraph"/>
        <w:numPr>
          <w:ilvl w:val="0"/>
          <w:numId w:val="27"/>
        </w:numPr>
        <w:ind w:right="386"/>
        <w:rPr>
          <w:rFonts w:cs="Arial"/>
        </w:rPr>
      </w:pPr>
      <w:r w:rsidRPr="00FD2934">
        <w:rPr>
          <w:rFonts w:cs="Arial"/>
          <w:b/>
          <w:bCs/>
        </w:rPr>
        <w:t>Council tax recovery officer</w:t>
      </w:r>
      <w:r w:rsidRPr="00D33A20">
        <w:rPr>
          <w:rFonts w:cs="Arial"/>
        </w:rPr>
        <w:t xml:space="preserve"> - </w:t>
      </w:r>
      <w:r w:rsidR="00DE0162" w:rsidRPr="00D33A20">
        <w:rPr>
          <w:rFonts w:cs="Arial"/>
        </w:rPr>
        <w:t xml:space="preserve">£50k </w:t>
      </w:r>
      <w:r w:rsidR="004325B7">
        <w:rPr>
          <w:rFonts w:cs="Arial"/>
        </w:rPr>
        <w:t xml:space="preserve">per annum </w:t>
      </w:r>
      <w:r w:rsidR="00DE0162" w:rsidRPr="00D33A20">
        <w:rPr>
          <w:rFonts w:cs="Arial"/>
        </w:rPr>
        <w:t xml:space="preserve">additional resource to assist with the recovery of </w:t>
      </w:r>
      <w:r w:rsidR="00625469" w:rsidRPr="00D33A20">
        <w:rPr>
          <w:rFonts w:cs="Arial"/>
        </w:rPr>
        <w:t>council</w:t>
      </w:r>
      <w:r w:rsidR="00DE0162" w:rsidRPr="00D33A20">
        <w:rPr>
          <w:rFonts w:cs="Arial"/>
        </w:rPr>
        <w:t xml:space="preserve"> tax and business rates debt which has seen an increase of 8</w:t>
      </w:r>
      <w:r w:rsidR="00500141">
        <w:rPr>
          <w:rFonts w:cs="Arial"/>
        </w:rPr>
        <w:t>,</w:t>
      </w:r>
      <w:r w:rsidR="00DE0162" w:rsidRPr="00D33A20">
        <w:rPr>
          <w:rFonts w:cs="Arial"/>
        </w:rPr>
        <w:t>000 properties and £77m debit over the last 15 years with limited increase in staff</w:t>
      </w:r>
    </w:p>
    <w:p w14:paraId="0D0426C1" w14:textId="0FB93399" w:rsidR="004C0AA7" w:rsidRPr="00A02D58" w:rsidRDefault="004C0AA7" w:rsidP="00712800">
      <w:pPr>
        <w:pStyle w:val="ListParagraph"/>
        <w:numPr>
          <w:ilvl w:val="0"/>
          <w:numId w:val="27"/>
        </w:numPr>
        <w:ind w:right="386"/>
        <w:rPr>
          <w:rFonts w:cs="Arial"/>
        </w:rPr>
      </w:pPr>
      <w:r w:rsidRPr="00FD2934">
        <w:rPr>
          <w:rFonts w:cs="Arial"/>
          <w:b/>
          <w:bCs/>
        </w:rPr>
        <w:t xml:space="preserve">Investigation Services - £40k </w:t>
      </w:r>
      <w:r w:rsidR="004325B7">
        <w:rPr>
          <w:rFonts w:cs="Arial"/>
          <w:b/>
          <w:bCs/>
        </w:rPr>
        <w:t>per annum</w:t>
      </w:r>
      <w:r w:rsidRPr="00FD2934">
        <w:rPr>
          <w:rFonts w:cs="Arial"/>
          <w:b/>
          <w:bCs/>
        </w:rPr>
        <w:t>–</w:t>
      </w:r>
      <w:r w:rsidRPr="00D33A20">
        <w:rPr>
          <w:rFonts w:cs="Arial"/>
        </w:rPr>
        <w:t xml:space="preserve"> </w:t>
      </w:r>
      <w:r w:rsidR="00B271CC" w:rsidRPr="00D33A20">
        <w:rPr>
          <w:rFonts w:cs="Arial"/>
        </w:rPr>
        <w:t xml:space="preserve">funded by increased income - </w:t>
      </w:r>
      <w:r w:rsidR="00625469" w:rsidRPr="00A02D58">
        <w:rPr>
          <w:rFonts w:cs="Arial"/>
        </w:rPr>
        <w:t>additional</w:t>
      </w:r>
      <w:r w:rsidRPr="00A02D58">
        <w:rPr>
          <w:rFonts w:cs="Arial"/>
        </w:rPr>
        <w:t xml:space="preserve"> officer to secure current income as well as additional income from new contracts</w:t>
      </w:r>
    </w:p>
    <w:p w14:paraId="5AB99DB8" w14:textId="49D95693" w:rsidR="00F92EBA" w:rsidRPr="0078350C" w:rsidRDefault="00F92EBA" w:rsidP="00712800">
      <w:pPr>
        <w:pStyle w:val="ListParagraph"/>
        <w:numPr>
          <w:ilvl w:val="0"/>
          <w:numId w:val="27"/>
        </w:numPr>
        <w:ind w:right="386"/>
        <w:rPr>
          <w:rFonts w:cs="Arial"/>
        </w:rPr>
      </w:pPr>
      <w:r w:rsidRPr="00A02D58">
        <w:rPr>
          <w:rFonts w:cs="Arial"/>
          <w:b/>
          <w:bCs/>
        </w:rPr>
        <w:t xml:space="preserve">Data Cleansing </w:t>
      </w:r>
      <w:r w:rsidR="00FD2934" w:rsidRPr="00A02D58">
        <w:rPr>
          <w:rFonts w:cs="Arial"/>
          <w:b/>
          <w:bCs/>
        </w:rPr>
        <w:t>Officer</w:t>
      </w:r>
      <w:r w:rsidRPr="00A02D58">
        <w:rPr>
          <w:rFonts w:cs="Arial"/>
          <w:b/>
          <w:bCs/>
        </w:rPr>
        <w:t>- £53k</w:t>
      </w:r>
      <w:r w:rsidRPr="00A02D58">
        <w:rPr>
          <w:rFonts w:cs="Arial"/>
        </w:rPr>
        <w:t xml:space="preserve"> </w:t>
      </w:r>
      <w:r w:rsidR="004325B7" w:rsidRPr="00A02D58">
        <w:rPr>
          <w:rFonts w:cs="Arial"/>
        </w:rPr>
        <w:t xml:space="preserve">per annum </w:t>
      </w:r>
      <w:r w:rsidR="00011FE7" w:rsidRPr="00A02D58">
        <w:rPr>
          <w:rFonts w:eastAsia="Aptos Narrow" w:cs="Arial"/>
          <w:color w:val="242424"/>
        </w:rPr>
        <w:t>The post will drive and coordinate the implementation of recommendations from the recent (Citizen Contact) Data Cleansing.</w:t>
      </w:r>
    </w:p>
    <w:p w14:paraId="7D213A8B" w14:textId="291D9041" w:rsidR="0078350C" w:rsidRPr="002062F6" w:rsidRDefault="0078350C" w:rsidP="00712800">
      <w:pPr>
        <w:pStyle w:val="ListParagraph"/>
        <w:numPr>
          <w:ilvl w:val="0"/>
          <w:numId w:val="27"/>
        </w:numPr>
        <w:ind w:right="386"/>
        <w:rPr>
          <w:rFonts w:cs="Arial"/>
        </w:rPr>
      </w:pPr>
      <w:r>
        <w:rPr>
          <w:rFonts w:cs="Arial"/>
          <w:b/>
          <w:bCs/>
        </w:rPr>
        <w:t>Extende</w:t>
      </w:r>
      <w:r w:rsidR="002B64CE">
        <w:rPr>
          <w:rFonts w:cs="Arial"/>
          <w:b/>
          <w:bCs/>
        </w:rPr>
        <w:t>d</w:t>
      </w:r>
      <w:r>
        <w:rPr>
          <w:rFonts w:cs="Arial"/>
          <w:b/>
          <w:bCs/>
        </w:rPr>
        <w:t xml:space="preserve"> opening hours </w:t>
      </w:r>
      <w:r w:rsidR="00635E91">
        <w:rPr>
          <w:rFonts w:cs="Arial"/>
          <w:b/>
          <w:bCs/>
        </w:rPr>
        <w:t xml:space="preserve">at Hinksey Pool </w:t>
      </w:r>
      <w:r w:rsidR="00635E91" w:rsidRPr="002062F6">
        <w:rPr>
          <w:rFonts w:cs="Arial"/>
        </w:rPr>
        <w:t>- £63k per annum</w:t>
      </w:r>
      <w:r w:rsidR="002062F6" w:rsidRPr="002062F6">
        <w:rPr>
          <w:rFonts w:cs="Arial"/>
        </w:rPr>
        <w:t xml:space="preserve"> to include March and October</w:t>
      </w:r>
    </w:p>
    <w:p w14:paraId="5791EDF7" w14:textId="77777777" w:rsidR="00D33A20" w:rsidRPr="001843EA" w:rsidRDefault="00D33A20" w:rsidP="00D33A20">
      <w:pPr>
        <w:pStyle w:val="ListParagraph"/>
        <w:ind w:left="861" w:right="386"/>
        <w:rPr>
          <w:rFonts w:cs="Arial"/>
        </w:rPr>
      </w:pPr>
    </w:p>
    <w:p w14:paraId="4B79F97D" w14:textId="4A491AB8" w:rsidR="00712800" w:rsidRDefault="0000468F" w:rsidP="00DE2B8E">
      <w:pPr>
        <w:pStyle w:val="ListParagraph"/>
        <w:numPr>
          <w:ilvl w:val="0"/>
          <w:numId w:val="52"/>
        </w:numPr>
        <w:ind w:right="386"/>
      </w:pPr>
      <w:r w:rsidRPr="001843EA">
        <w:t xml:space="preserve">The </w:t>
      </w:r>
      <w:r w:rsidR="009431D6" w:rsidRPr="001843EA">
        <w:t xml:space="preserve">Council’s </w:t>
      </w:r>
      <w:r w:rsidR="00E90B63" w:rsidRPr="001843EA">
        <w:t>G</w:t>
      </w:r>
      <w:r w:rsidR="009431D6" w:rsidRPr="001843EA">
        <w:t xml:space="preserve">eneral </w:t>
      </w:r>
      <w:r w:rsidR="00E90B63" w:rsidRPr="001843EA">
        <w:t>F</w:t>
      </w:r>
      <w:r w:rsidR="009431D6" w:rsidRPr="001843EA">
        <w:t>und Budget for Consultation is set out in Appendi</w:t>
      </w:r>
      <w:r w:rsidR="00A83682" w:rsidRPr="001843EA">
        <w:t>ces</w:t>
      </w:r>
      <w:r w:rsidR="009431D6" w:rsidRPr="001843EA">
        <w:t xml:space="preserve"> 1</w:t>
      </w:r>
      <w:r w:rsidR="00B43878" w:rsidRPr="001843EA">
        <w:t>, 2 and 3</w:t>
      </w:r>
      <w:r w:rsidR="005A4481" w:rsidRPr="001843EA">
        <w:t xml:space="preserve"> </w:t>
      </w:r>
      <w:r w:rsidR="009E7E43" w:rsidRPr="001843EA">
        <w:t xml:space="preserve">attached </w:t>
      </w:r>
      <w:r w:rsidR="005A4481" w:rsidRPr="001843EA">
        <w:t xml:space="preserve">and </w:t>
      </w:r>
      <w:r w:rsidR="006017B0" w:rsidRPr="001843EA">
        <w:t>summarised</w:t>
      </w:r>
      <w:r w:rsidR="009E7E43" w:rsidRPr="001843EA">
        <w:t xml:space="preserve"> </w:t>
      </w:r>
      <w:r w:rsidR="00E462AA" w:rsidRPr="001843EA">
        <w:t>below:</w:t>
      </w:r>
    </w:p>
    <w:p w14:paraId="2DBF8E21" w14:textId="77777777" w:rsidR="001843EA" w:rsidRDefault="001843EA" w:rsidP="001843EA">
      <w:pPr>
        <w:ind w:right="386"/>
      </w:pPr>
    </w:p>
    <w:p w14:paraId="0D924F43" w14:textId="1729CEA2" w:rsidR="0087246B" w:rsidRPr="00D423E2" w:rsidRDefault="0087246B" w:rsidP="0087246B">
      <w:pPr>
        <w:pStyle w:val="ListParagraph"/>
        <w:ind w:right="386" w:hanging="720"/>
        <w:rPr>
          <w:b/>
        </w:rPr>
      </w:pPr>
      <w:r w:rsidRPr="00D423E2">
        <w:rPr>
          <w:b/>
        </w:rPr>
        <w:t xml:space="preserve">Table </w:t>
      </w:r>
      <w:r w:rsidR="009004FF">
        <w:rPr>
          <w:b/>
        </w:rPr>
        <w:t>5</w:t>
      </w:r>
      <w:r w:rsidRPr="00D423E2">
        <w:rPr>
          <w:b/>
        </w:rPr>
        <w:t xml:space="preserve"> – Medium Term Financial Strategy 202</w:t>
      </w:r>
      <w:r w:rsidR="00625469" w:rsidRPr="00D423E2">
        <w:rPr>
          <w:b/>
        </w:rPr>
        <w:t>6</w:t>
      </w:r>
      <w:r w:rsidRPr="00D423E2">
        <w:rPr>
          <w:b/>
        </w:rPr>
        <w:t>-2</w:t>
      </w:r>
      <w:r w:rsidR="00625469" w:rsidRPr="00D423E2">
        <w:rPr>
          <w:b/>
        </w:rPr>
        <w:t>7</w:t>
      </w:r>
      <w:r w:rsidRPr="00D423E2">
        <w:rPr>
          <w:b/>
        </w:rPr>
        <w:t xml:space="preserve"> – 202</w:t>
      </w:r>
      <w:r w:rsidR="00625469" w:rsidRPr="00D423E2">
        <w:rPr>
          <w:b/>
        </w:rPr>
        <w:t>9</w:t>
      </w:r>
      <w:r w:rsidRPr="00D423E2">
        <w:rPr>
          <w:b/>
        </w:rPr>
        <w:t>-</w:t>
      </w:r>
      <w:r w:rsidR="00625469" w:rsidRPr="00D423E2">
        <w:rPr>
          <w:b/>
        </w:rPr>
        <w:t>30</w:t>
      </w:r>
    </w:p>
    <w:p w14:paraId="529FCB1E" w14:textId="77777777" w:rsidR="00F42D9C" w:rsidRPr="00D423E2" w:rsidRDefault="00F42D9C" w:rsidP="0087246B">
      <w:pPr>
        <w:pStyle w:val="ListParagraph"/>
        <w:ind w:right="386" w:hanging="720"/>
        <w:rPr>
          <w:b/>
        </w:rPr>
      </w:pPr>
    </w:p>
    <w:p w14:paraId="53CC9D73" w14:textId="2A56E653" w:rsidR="00F42D9C" w:rsidRPr="00D423E2" w:rsidRDefault="001073D6" w:rsidP="0087246B">
      <w:pPr>
        <w:pStyle w:val="ListParagraph"/>
        <w:ind w:right="386" w:hanging="720"/>
        <w:rPr>
          <w:b/>
        </w:rPr>
      </w:pPr>
      <w:r w:rsidRPr="001073D6">
        <w:rPr>
          <w:noProof/>
        </w:rPr>
        <w:lastRenderedPageBreak/>
        <w:drawing>
          <wp:inline distT="0" distB="0" distL="0" distR="0" wp14:anchorId="0C2992E2" wp14:editId="3E3AAA7A">
            <wp:extent cx="6022975" cy="3933190"/>
            <wp:effectExtent l="0" t="0" r="0" b="0"/>
            <wp:docPr id="1978554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22975" cy="3933190"/>
                    </a:xfrm>
                    <a:prstGeom prst="rect">
                      <a:avLst/>
                    </a:prstGeom>
                    <a:noFill/>
                    <a:ln>
                      <a:noFill/>
                    </a:ln>
                  </pic:spPr>
                </pic:pic>
              </a:graphicData>
            </a:graphic>
          </wp:inline>
        </w:drawing>
      </w:r>
    </w:p>
    <w:p w14:paraId="5FE2A48A" w14:textId="14CF32E7" w:rsidR="000C178A" w:rsidRPr="00D423E2" w:rsidRDefault="004347E4" w:rsidP="004347E4">
      <w:pPr>
        <w:tabs>
          <w:tab w:val="left" w:pos="2850"/>
        </w:tabs>
      </w:pPr>
      <w:r w:rsidRPr="00D423E2">
        <w:tab/>
      </w:r>
    </w:p>
    <w:p w14:paraId="23D63830" w14:textId="0B5F1D1C" w:rsidR="000C178A" w:rsidRPr="00572DC5" w:rsidRDefault="000C178A" w:rsidP="0087246B">
      <w:pPr>
        <w:pStyle w:val="ListParagraph"/>
        <w:ind w:right="386" w:hanging="720"/>
        <w:rPr>
          <w:b/>
          <w:highlight w:val="yellow"/>
        </w:rPr>
      </w:pPr>
    </w:p>
    <w:p w14:paraId="4F3E5838" w14:textId="77777777" w:rsidR="009E67EF" w:rsidRPr="00FD2934" w:rsidRDefault="009E67EF" w:rsidP="004D4795">
      <w:pPr>
        <w:pStyle w:val="ListParagraph"/>
        <w:ind w:right="386"/>
        <w:rPr>
          <w:b/>
        </w:rPr>
      </w:pPr>
      <w:r w:rsidRPr="00FD2934">
        <w:rPr>
          <w:b/>
        </w:rPr>
        <w:t>Key</w:t>
      </w:r>
      <w:r w:rsidR="007444C0" w:rsidRPr="00FD2934">
        <w:rPr>
          <w:b/>
        </w:rPr>
        <w:t>:</w:t>
      </w:r>
    </w:p>
    <w:p w14:paraId="25CB3AD5" w14:textId="77777777" w:rsidR="007444C0" w:rsidRPr="00FD2934" w:rsidRDefault="007444C0" w:rsidP="004D4795">
      <w:pPr>
        <w:pStyle w:val="ListParagraph"/>
        <w:ind w:right="386"/>
        <w:rPr>
          <w:b/>
        </w:rPr>
      </w:pPr>
    </w:p>
    <w:p w14:paraId="009CB2BB" w14:textId="77777777" w:rsidR="009E67EF" w:rsidRPr="00FD2934" w:rsidRDefault="009E67EF" w:rsidP="00712800">
      <w:pPr>
        <w:numPr>
          <w:ilvl w:val="0"/>
          <w:numId w:val="3"/>
        </w:numPr>
        <w:ind w:left="993" w:right="386" w:hanging="284"/>
      </w:pPr>
      <w:r w:rsidRPr="00FD2934">
        <w:rPr>
          <w:b/>
        </w:rPr>
        <w:t xml:space="preserve">MRP </w:t>
      </w:r>
      <w:r w:rsidRPr="00FD2934">
        <w:t xml:space="preserve">– </w:t>
      </w:r>
      <w:r w:rsidRPr="00FD2934">
        <w:rPr>
          <w:b/>
        </w:rPr>
        <w:t>Minimum Revenue Provision</w:t>
      </w:r>
      <w:r w:rsidRPr="00FD2934">
        <w:t xml:space="preserve"> – A charge made to revenue in respect </w:t>
      </w:r>
      <w:r w:rsidR="00A57C7D" w:rsidRPr="00FD2934">
        <w:t xml:space="preserve">of </w:t>
      </w:r>
      <w:r w:rsidRPr="00FD2934">
        <w:t xml:space="preserve">the cost of borrowing to fund the </w:t>
      </w:r>
      <w:r w:rsidR="00662F6E" w:rsidRPr="00FD2934">
        <w:t>Capital Programme</w:t>
      </w:r>
      <w:r w:rsidRPr="00FD2934">
        <w:t>.</w:t>
      </w:r>
    </w:p>
    <w:p w14:paraId="5BB088CA" w14:textId="77777777" w:rsidR="000C178A" w:rsidRPr="00572DC5" w:rsidRDefault="000C178A" w:rsidP="000C178A">
      <w:pPr>
        <w:ind w:left="993" w:right="386"/>
        <w:rPr>
          <w:highlight w:val="yellow"/>
        </w:rPr>
      </w:pPr>
    </w:p>
    <w:p w14:paraId="16817000" w14:textId="77777777" w:rsidR="00847CF3" w:rsidRPr="001B554D" w:rsidRDefault="00847CF3" w:rsidP="004D4795">
      <w:pPr>
        <w:ind w:right="386"/>
        <w:rPr>
          <w:b/>
        </w:rPr>
      </w:pPr>
    </w:p>
    <w:p w14:paraId="1E5CA873" w14:textId="77777777" w:rsidR="00673090" w:rsidRPr="001B554D" w:rsidRDefault="00673090" w:rsidP="004D4795">
      <w:pPr>
        <w:ind w:right="386"/>
        <w:rPr>
          <w:b/>
        </w:rPr>
      </w:pPr>
      <w:r w:rsidRPr="001B554D">
        <w:rPr>
          <w:b/>
        </w:rPr>
        <w:t>Use of Working Balances</w:t>
      </w:r>
      <w:r w:rsidR="002129B0" w:rsidRPr="001B554D">
        <w:rPr>
          <w:b/>
        </w:rPr>
        <w:t xml:space="preserve"> and Transfers from Reserves</w:t>
      </w:r>
    </w:p>
    <w:p w14:paraId="63B712FA" w14:textId="77777777" w:rsidR="001567C0" w:rsidRPr="001B554D" w:rsidRDefault="001567C0" w:rsidP="004D4795">
      <w:pPr>
        <w:ind w:right="386"/>
      </w:pPr>
    </w:p>
    <w:p w14:paraId="4E8ACFAD" w14:textId="39B6C5F9" w:rsidR="008C2A6F" w:rsidRPr="001B554D" w:rsidRDefault="00927576" w:rsidP="001F2BCF">
      <w:pPr>
        <w:pStyle w:val="ListParagraph"/>
        <w:numPr>
          <w:ilvl w:val="0"/>
          <w:numId w:val="52"/>
        </w:numPr>
        <w:ind w:left="426" w:right="386" w:hanging="426"/>
      </w:pPr>
      <w:r w:rsidRPr="001B554D">
        <w:t xml:space="preserve">The </w:t>
      </w:r>
      <w:r w:rsidR="66F9314E" w:rsidRPr="001B554D">
        <w:t>MTFP allows for</w:t>
      </w:r>
      <w:r w:rsidR="00E4383F" w:rsidRPr="001B554D">
        <w:t xml:space="preserve"> the use </w:t>
      </w:r>
      <w:r w:rsidR="000C178A" w:rsidRPr="001B554D">
        <w:t xml:space="preserve">of </w:t>
      </w:r>
      <w:r w:rsidR="66F9314E" w:rsidRPr="001B554D">
        <w:t>£</w:t>
      </w:r>
      <w:r w:rsidR="00E17DFD" w:rsidRPr="001B554D">
        <w:t>7.8</w:t>
      </w:r>
      <w:r w:rsidR="00474F2B" w:rsidRPr="001B554D">
        <w:t xml:space="preserve"> million</w:t>
      </w:r>
      <w:r w:rsidR="66F9314E" w:rsidRPr="001B554D">
        <w:t xml:space="preserve"> </w:t>
      </w:r>
      <w:r w:rsidR="00F76BF5" w:rsidRPr="001B554D">
        <w:t xml:space="preserve">of reserves </w:t>
      </w:r>
      <w:r w:rsidR="00474F2B" w:rsidRPr="001B554D">
        <w:t>o</w:t>
      </w:r>
      <w:r w:rsidR="66F9314E" w:rsidRPr="001B554D">
        <w:t>ver the 4</w:t>
      </w:r>
      <w:r w:rsidR="00F17FF3" w:rsidRPr="001B554D">
        <w:t xml:space="preserve"> year </w:t>
      </w:r>
      <w:r w:rsidR="66F9314E" w:rsidRPr="001B554D">
        <w:t>period.</w:t>
      </w:r>
      <w:r w:rsidR="00F17FF3" w:rsidRPr="001B554D">
        <w:t xml:space="preserve"> </w:t>
      </w:r>
      <w:r w:rsidR="000C178A" w:rsidRPr="001B554D">
        <w:t>Other e</w:t>
      </w:r>
      <w:r w:rsidRPr="001B554D">
        <w:t xml:space="preserve">armarked reserves </w:t>
      </w:r>
      <w:r w:rsidR="00E4383F" w:rsidRPr="001B554D">
        <w:t xml:space="preserve">that are not ring fenced at </w:t>
      </w:r>
      <w:r w:rsidRPr="001B554D">
        <w:t>31-3-202</w:t>
      </w:r>
      <w:r w:rsidR="008E61D1">
        <w:t>5</w:t>
      </w:r>
      <w:r w:rsidRPr="001B554D">
        <w:t xml:space="preserve"> st</w:t>
      </w:r>
      <w:r w:rsidR="00E4383F" w:rsidRPr="001B554D">
        <w:t xml:space="preserve">and </w:t>
      </w:r>
      <w:r w:rsidRPr="001B554D">
        <w:t>at around £</w:t>
      </w:r>
      <w:r w:rsidR="30B66E89" w:rsidRPr="001B554D">
        <w:t>20</w:t>
      </w:r>
      <w:r w:rsidR="00E4383F" w:rsidRPr="001B554D">
        <w:t xml:space="preserve"> </w:t>
      </w:r>
      <w:r w:rsidRPr="001B554D">
        <w:t>million</w:t>
      </w:r>
      <w:r w:rsidR="00B9341F">
        <w:t xml:space="preserve"> which could be re-prioritised</w:t>
      </w:r>
      <w:r w:rsidR="00E4383F" w:rsidRPr="001B554D">
        <w:t>. In addition to these reserves there is another £3.6 million un</w:t>
      </w:r>
      <w:r w:rsidR="004C7821" w:rsidRPr="001B554D">
        <w:t>-</w:t>
      </w:r>
      <w:r w:rsidR="00E4383F" w:rsidRPr="001B554D">
        <w:t>ringfenced working balance.</w:t>
      </w:r>
      <w:r w:rsidRPr="001B554D">
        <w:t xml:space="preserve"> </w:t>
      </w:r>
    </w:p>
    <w:p w14:paraId="554BB774" w14:textId="77777777" w:rsidR="00F314B8" w:rsidRPr="00CB3630" w:rsidRDefault="00F314B8" w:rsidP="00180D1A">
      <w:pPr>
        <w:pStyle w:val="ListParagraph"/>
        <w:ind w:right="386"/>
      </w:pPr>
    </w:p>
    <w:p w14:paraId="54C9C2E5" w14:textId="77777777" w:rsidR="00601571" w:rsidRPr="00CB3630" w:rsidRDefault="00601571" w:rsidP="00180D1A">
      <w:pPr>
        <w:tabs>
          <w:tab w:val="left" w:pos="630"/>
        </w:tabs>
        <w:ind w:right="386"/>
        <w:rPr>
          <w:b/>
        </w:rPr>
      </w:pPr>
      <w:r w:rsidRPr="00CB3630">
        <w:rPr>
          <w:b/>
        </w:rPr>
        <w:t>Risk Implications</w:t>
      </w:r>
    </w:p>
    <w:p w14:paraId="5B46A3C1" w14:textId="77777777" w:rsidR="001567C0" w:rsidRPr="00CB3630" w:rsidRDefault="001567C0" w:rsidP="00180D1A">
      <w:pPr>
        <w:ind w:right="386"/>
        <w:rPr>
          <w:b/>
        </w:rPr>
      </w:pPr>
    </w:p>
    <w:p w14:paraId="400517C7" w14:textId="77777777" w:rsidR="00227B6B" w:rsidRPr="00EA6F3F" w:rsidRDefault="00227B6B" w:rsidP="001F2BCF">
      <w:pPr>
        <w:pStyle w:val="ListParagraph"/>
        <w:numPr>
          <w:ilvl w:val="0"/>
          <w:numId w:val="52"/>
        </w:numPr>
        <w:ind w:left="426" w:right="386" w:hanging="426"/>
        <w:rPr>
          <w:color w:val="000000" w:themeColor="text1"/>
          <w:sz w:val="22"/>
          <w:szCs w:val="22"/>
        </w:rPr>
      </w:pPr>
      <w:r w:rsidRPr="00CB3630">
        <w:rPr>
          <w:color w:val="000000" w:themeColor="text1"/>
        </w:rPr>
        <w:t>The main risks to</w:t>
      </w:r>
      <w:r w:rsidRPr="00EA6F3F">
        <w:rPr>
          <w:color w:val="000000" w:themeColor="text1"/>
        </w:rPr>
        <w:t xml:space="preserve"> the </w:t>
      </w:r>
      <w:r w:rsidR="00494F15" w:rsidRPr="00EA6F3F">
        <w:rPr>
          <w:color w:val="000000" w:themeColor="text1"/>
        </w:rPr>
        <w:t xml:space="preserve">balanced position </w:t>
      </w:r>
      <w:r w:rsidR="005F7D66" w:rsidRPr="00EA6F3F">
        <w:rPr>
          <w:color w:val="000000" w:themeColor="text1"/>
        </w:rPr>
        <w:t>of</w:t>
      </w:r>
      <w:r w:rsidR="00494F15" w:rsidRPr="00EA6F3F">
        <w:rPr>
          <w:color w:val="000000" w:themeColor="text1"/>
        </w:rPr>
        <w:t xml:space="preserve"> the </w:t>
      </w:r>
      <w:r w:rsidRPr="00EA6F3F">
        <w:rPr>
          <w:color w:val="000000" w:themeColor="text1"/>
        </w:rPr>
        <w:t>General Fund consultation budget</w:t>
      </w:r>
      <w:r w:rsidR="00494F15" w:rsidRPr="00EA6F3F">
        <w:rPr>
          <w:color w:val="000000" w:themeColor="text1"/>
        </w:rPr>
        <w:t xml:space="preserve"> </w:t>
      </w:r>
      <w:r w:rsidR="00FA2FF9" w:rsidRPr="00EA6F3F">
        <w:rPr>
          <w:color w:val="000000" w:themeColor="text1"/>
        </w:rPr>
        <w:t xml:space="preserve">(Appendix </w:t>
      </w:r>
      <w:r w:rsidR="008C3B46" w:rsidRPr="00EA6F3F">
        <w:rPr>
          <w:color w:val="000000" w:themeColor="text1"/>
        </w:rPr>
        <w:t>8</w:t>
      </w:r>
      <w:r w:rsidR="00FA2FF9" w:rsidRPr="00EA6F3F">
        <w:rPr>
          <w:color w:val="000000" w:themeColor="text1"/>
        </w:rPr>
        <w:t>)</w:t>
      </w:r>
      <w:r w:rsidR="00EC42E6" w:rsidRPr="00EA6F3F">
        <w:rPr>
          <w:color w:val="000000" w:themeColor="text1"/>
        </w:rPr>
        <w:t xml:space="preserve"> </w:t>
      </w:r>
      <w:r w:rsidR="00494F15" w:rsidRPr="00EA6F3F">
        <w:rPr>
          <w:color w:val="000000" w:themeColor="text1"/>
        </w:rPr>
        <w:t>are</w:t>
      </w:r>
      <w:r w:rsidR="0052514C" w:rsidRPr="00EA6F3F">
        <w:rPr>
          <w:color w:val="000000" w:themeColor="text1"/>
        </w:rPr>
        <w:t xml:space="preserve"> that</w:t>
      </w:r>
      <w:r w:rsidR="00494F15" w:rsidRPr="00EA6F3F">
        <w:rPr>
          <w:color w:val="000000" w:themeColor="text1"/>
        </w:rPr>
        <w:t>:</w:t>
      </w:r>
    </w:p>
    <w:p w14:paraId="1E6E0004" w14:textId="77777777" w:rsidR="00C02E4C" w:rsidRPr="00EA6F3F" w:rsidRDefault="00C02E4C" w:rsidP="00180D1A">
      <w:pPr>
        <w:pStyle w:val="ListParagraph"/>
        <w:ind w:right="386"/>
        <w:rPr>
          <w:color w:val="000000" w:themeColor="text1"/>
          <w:sz w:val="22"/>
          <w:szCs w:val="22"/>
        </w:rPr>
      </w:pPr>
    </w:p>
    <w:p w14:paraId="7D03614E" w14:textId="644DD80A" w:rsidR="001B52FD" w:rsidRPr="00EA6F3F" w:rsidRDefault="001B52FD" w:rsidP="00712800">
      <w:pPr>
        <w:numPr>
          <w:ilvl w:val="0"/>
          <w:numId w:val="13"/>
        </w:numPr>
        <w:ind w:left="1077" w:right="386" w:hanging="357"/>
        <w:rPr>
          <w:color w:val="000000" w:themeColor="text1"/>
        </w:rPr>
      </w:pPr>
      <w:r w:rsidRPr="00EA6F3F">
        <w:rPr>
          <w:color w:val="000000" w:themeColor="text1"/>
        </w:rPr>
        <w:t xml:space="preserve">Provisional Finance </w:t>
      </w:r>
      <w:r w:rsidR="00E0077E" w:rsidRPr="00EA6F3F">
        <w:rPr>
          <w:color w:val="000000" w:themeColor="text1"/>
        </w:rPr>
        <w:t>Settlement when</w:t>
      </w:r>
      <w:r w:rsidRPr="00EA6F3F">
        <w:rPr>
          <w:color w:val="000000" w:themeColor="text1"/>
        </w:rPr>
        <w:t xml:space="preserve"> announced in </w:t>
      </w:r>
      <w:r w:rsidR="00474F2B" w:rsidRPr="00EA6F3F">
        <w:rPr>
          <w:color w:val="000000" w:themeColor="text1"/>
        </w:rPr>
        <w:t>December</w:t>
      </w:r>
      <w:r w:rsidR="74E8BC41" w:rsidRPr="00EA6F3F">
        <w:rPr>
          <w:color w:val="000000" w:themeColor="text1"/>
        </w:rPr>
        <w:t xml:space="preserve"> is not as good as assumed</w:t>
      </w:r>
      <w:r w:rsidR="00474F2B" w:rsidRPr="00EA6F3F">
        <w:rPr>
          <w:color w:val="000000" w:themeColor="text1"/>
        </w:rPr>
        <w:t>.</w:t>
      </w:r>
    </w:p>
    <w:p w14:paraId="05B8F4F6" w14:textId="31D22892" w:rsidR="00D21312" w:rsidRPr="00EA6F3F" w:rsidRDefault="00D21312" w:rsidP="00712800">
      <w:pPr>
        <w:numPr>
          <w:ilvl w:val="0"/>
          <w:numId w:val="13"/>
        </w:numPr>
        <w:ind w:left="1077" w:right="386" w:hanging="357"/>
        <w:rPr>
          <w:color w:val="000000" w:themeColor="text1"/>
        </w:rPr>
      </w:pPr>
      <w:r w:rsidRPr="00EA6F3F">
        <w:rPr>
          <w:color w:val="000000" w:themeColor="text1"/>
        </w:rPr>
        <w:t xml:space="preserve">Savings from efficiencies and transformation </w:t>
      </w:r>
      <w:r w:rsidR="0039603E" w:rsidRPr="00EA6F3F">
        <w:rPr>
          <w:color w:val="000000" w:themeColor="text1"/>
        </w:rPr>
        <w:t xml:space="preserve">are </w:t>
      </w:r>
      <w:r w:rsidRPr="00EA6F3F">
        <w:rPr>
          <w:color w:val="000000" w:themeColor="text1"/>
        </w:rPr>
        <w:t xml:space="preserve">not </w:t>
      </w:r>
      <w:r w:rsidR="00474F2B" w:rsidRPr="00EA6F3F">
        <w:rPr>
          <w:color w:val="000000" w:themeColor="text1"/>
        </w:rPr>
        <w:t>achieved.</w:t>
      </w:r>
    </w:p>
    <w:p w14:paraId="6C9CA324" w14:textId="7DBDB274" w:rsidR="001A3FC4" w:rsidRPr="00EA6F3F" w:rsidRDefault="00BD2C12" w:rsidP="00712800">
      <w:pPr>
        <w:numPr>
          <w:ilvl w:val="0"/>
          <w:numId w:val="13"/>
        </w:numPr>
        <w:ind w:left="1077" w:right="386" w:hanging="357"/>
        <w:rPr>
          <w:color w:val="000000" w:themeColor="text1"/>
        </w:rPr>
      </w:pPr>
      <w:r w:rsidRPr="00EA6F3F">
        <w:rPr>
          <w:color w:val="000000" w:themeColor="text1"/>
        </w:rPr>
        <w:t>Council</w:t>
      </w:r>
      <w:r w:rsidR="00B37963" w:rsidRPr="00EA6F3F">
        <w:rPr>
          <w:color w:val="000000" w:themeColor="text1"/>
        </w:rPr>
        <w:t xml:space="preserve"> income streams </w:t>
      </w:r>
      <w:r w:rsidR="00CF6BCE" w:rsidRPr="00EA6F3F">
        <w:rPr>
          <w:color w:val="000000" w:themeColor="text1"/>
        </w:rPr>
        <w:t>are less than budgeted</w:t>
      </w:r>
      <w:r w:rsidR="00097FD6" w:rsidRPr="00EA6F3F">
        <w:rPr>
          <w:color w:val="000000" w:themeColor="text1"/>
        </w:rPr>
        <w:t>.</w:t>
      </w:r>
    </w:p>
    <w:p w14:paraId="30ECAC60" w14:textId="2FA399F0" w:rsidR="00CC329E" w:rsidRPr="00EA6F3F" w:rsidRDefault="00CC329E" w:rsidP="00712800">
      <w:pPr>
        <w:numPr>
          <w:ilvl w:val="0"/>
          <w:numId w:val="13"/>
        </w:numPr>
        <w:ind w:left="1077" w:right="386" w:hanging="357"/>
        <w:rPr>
          <w:color w:val="000000" w:themeColor="text1"/>
        </w:rPr>
      </w:pPr>
      <w:r w:rsidRPr="00EA6F3F">
        <w:rPr>
          <w:color w:val="000000" w:themeColor="text1"/>
        </w:rPr>
        <w:t xml:space="preserve">Failure </w:t>
      </w:r>
      <w:r w:rsidR="003E060B" w:rsidRPr="00EA6F3F">
        <w:rPr>
          <w:color w:val="000000" w:themeColor="text1"/>
        </w:rPr>
        <w:t xml:space="preserve">or uncertainty of </w:t>
      </w:r>
      <w:r w:rsidRPr="00EA6F3F">
        <w:rPr>
          <w:color w:val="000000" w:themeColor="text1"/>
        </w:rPr>
        <w:t>major partner</w:t>
      </w:r>
      <w:r w:rsidR="003E060B" w:rsidRPr="00EA6F3F">
        <w:rPr>
          <w:color w:val="000000" w:themeColor="text1"/>
        </w:rPr>
        <w:t xml:space="preserve">s to deliver </w:t>
      </w:r>
      <w:r w:rsidRPr="00EA6F3F">
        <w:rPr>
          <w:color w:val="000000" w:themeColor="text1"/>
        </w:rPr>
        <w:t xml:space="preserve">for instance </w:t>
      </w:r>
      <w:r w:rsidR="002E1FDE" w:rsidRPr="00EA6F3F">
        <w:rPr>
          <w:color w:val="000000" w:themeColor="text1"/>
        </w:rPr>
        <w:t xml:space="preserve">in </w:t>
      </w:r>
      <w:r w:rsidR="00474F2B" w:rsidRPr="00EA6F3F">
        <w:rPr>
          <w:color w:val="000000" w:themeColor="text1"/>
        </w:rPr>
        <w:t>Leisure.</w:t>
      </w:r>
      <w:r w:rsidRPr="00EA6F3F">
        <w:rPr>
          <w:color w:val="000000" w:themeColor="text1"/>
        </w:rPr>
        <w:t xml:space="preserve"> </w:t>
      </w:r>
    </w:p>
    <w:p w14:paraId="74AD99B7" w14:textId="02C74FAA" w:rsidR="00956521" w:rsidRPr="00EA6F3F" w:rsidRDefault="00603CCF" w:rsidP="00712800">
      <w:pPr>
        <w:numPr>
          <w:ilvl w:val="0"/>
          <w:numId w:val="13"/>
        </w:numPr>
        <w:ind w:left="1077" w:right="386" w:hanging="357"/>
        <w:rPr>
          <w:color w:val="000000" w:themeColor="text1"/>
        </w:rPr>
      </w:pPr>
      <w:r w:rsidRPr="00EA6F3F">
        <w:rPr>
          <w:color w:val="000000" w:themeColor="text1"/>
        </w:rPr>
        <w:t>C</w:t>
      </w:r>
      <w:r w:rsidR="00704D06" w:rsidRPr="00EA6F3F">
        <w:rPr>
          <w:color w:val="000000" w:themeColor="text1"/>
        </w:rPr>
        <w:t>ompanies do</w:t>
      </w:r>
      <w:r w:rsidR="00956521" w:rsidRPr="00EA6F3F">
        <w:rPr>
          <w:color w:val="000000" w:themeColor="text1"/>
        </w:rPr>
        <w:t xml:space="preserve"> not perform as well </w:t>
      </w:r>
      <w:r w:rsidR="00B37963" w:rsidRPr="00EA6F3F">
        <w:rPr>
          <w:color w:val="000000" w:themeColor="text1"/>
        </w:rPr>
        <w:t xml:space="preserve">as expected </w:t>
      </w:r>
      <w:r w:rsidR="00956521" w:rsidRPr="00EA6F3F">
        <w:rPr>
          <w:color w:val="000000" w:themeColor="text1"/>
        </w:rPr>
        <w:t xml:space="preserve">leading to reduced income to </w:t>
      </w:r>
      <w:r w:rsidR="00A441F6" w:rsidRPr="00EA6F3F">
        <w:rPr>
          <w:color w:val="000000" w:themeColor="text1"/>
        </w:rPr>
        <w:t xml:space="preserve">the </w:t>
      </w:r>
      <w:r w:rsidR="00474F2B" w:rsidRPr="00EA6F3F">
        <w:rPr>
          <w:color w:val="000000" w:themeColor="text1"/>
        </w:rPr>
        <w:t>Council.</w:t>
      </w:r>
    </w:p>
    <w:p w14:paraId="42EEEFA1" w14:textId="27F17951" w:rsidR="0063583C" w:rsidRPr="00EA6F3F" w:rsidRDefault="00E462AA" w:rsidP="00712800">
      <w:pPr>
        <w:numPr>
          <w:ilvl w:val="0"/>
          <w:numId w:val="13"/>
        </w:numPr>
        <w:ind w:left="1077" w:right="386" w:hanging="357"/>
        <w:rPr>
          <w:color w:val="000000" w:themeColor="text1"/>
        </w:rPr>
      </w:pPr>
      <w:r w:rsidRPr="00EA6F3F">
        <w:rPr>
          <w:color w:val="000000" w:themeColor="text1"/>
        </w:rPr>
        <w:t>Business Rate</w:t>
      </w:r>
      <w:r w:rsidR="0018345C" w:rsidRPr="00EA6F3F">
        <w:rPr>
          <w:color w:val="000000" w:themeColor="text1"/>
        </w:rPr>
        <w:t xml:space="preserve">s </w:t>
      </w:r>
      <w:r w:rsidR="7C991EF4" w:rsidRPr="00EA6F3F">
        <w:rPr>
          <w:color w:val="000000" w:themeColor="text1"/>
        </w:rPr>
        <w:t>income is</w:t>
      </w:r>
      <w:r w:rsidR="0018345C" w:rsidRPr="00EA6F3F">
        <w:rPr>
          <w:color w:val="000000" w:themeColor="text1"/>
        </w:rPr>
        <w:t xml:space="preserve"> </w:t>
      </w:r>
      <w:r w:rsidR="00AB7A34" w:rsidRPr="00EA6F3F">
        <w:rPr>
          <w:color w:val="000000" w:themeColor="text1"/>
        </w:rPr>
        <w:t>lower than</w:t>
      </w:r>
      <w:r w:rsidR="0018345C" w:rsidRPr="00EA6F3F">
        <w:rPr>
          <w:color w:val="000000" w:themeColor="text1"/>
        </w:rPr>
        <w:t xml:space="preserve"> </w:t>
      </w:r>
      <w:r w:rsidR="00474F2B" w:rsidRPr="00EA6F3F">
        <w:rPr>
          <w:color w:val="000000" w:themeColor="text1"/>
        </w:rPr>
        <w:t>forecast.</w:t>
      </w:r>
    </w:p>
    <w:p w14:paraId="636BBE7D" w14:textId="05415E1F" w:rsidR="004876F5" w:rsidRPr="00EA6F3F" w:rsidRDefault="00D21312" w:rsidP="00712800">
      <w:pPr>
        <w:numPr>
          <w:ilvl w:val="0"/>
          <w:numId w:val="13"/>
        </w:numPr>
        <w:ind w:left="1077" w:right="386" w:hanging="357"/>
        <w:rPr>
          <w:color w:val="000000" w:themeColor="text1"/>
        </w:rPr>
      </w:pPr>
      <w:r w:rsidRPr="00EA6F3F">
        <w:rPr>
          <w:color w:val="000000" w:themeColor="text1"/>
        </w:rPr>
        <w:t xml:space="preserve">Variations in interest rates or non-performance of property funds and multi asset vehicles effecting returns to </w:t>
      </w:r>
      <w:r w:rsidR="00097FD6" w:rsidRPr="00EA6F3F">
        <w:rPr>
          <w:color w:val="000000" w:themeColor="text1"/>
        </w:rPr>
        <w:t>council.</w:t>
      </w:r>
    </w:p>
    <w:p w14:paraId="3777BACB" w14:textId="478B0DE7" w:rsidR="001C5E3F" w:rsidRPr="00EA6F3F" w:rsidRDefault="00956521" w:rsidP="00712800">
      <w:pPr>
        <w:numPr>
          <w:ilvl w:val="0"/>
          <w:numId w:val="13"/>
        </w:numPr>
        <w:ind w:left="1077" w:right="386" w:hanging="357"/>
        <w:rPr>
          <w:color w:val="000000" w:themeColor="text1"/>
          <w:sz w:val="22"/>
          <w:szCs w:val="22"/>
        </w:rPr>
      </w:pPr>
      <w:r w:rsidRPr="00EA6F3F">
        <w:rPr>
          <w:color w:val="000000" w:themeColor="text1"/>
        </w:rPr>
        <w:lastRenderedPageBreak/>
        <w:t>S</w:t>
      </w:r>
      <w:r w:rsidR="001C5E3F" w:rsidRPr="00EA6F3F">
        <w:rPr>
          <w:color w:val="000000" w:themeColor="text1"/>
        </w:rPr>
        <w:t>lippage in the capital programme adver</w:t>
      </w:r>
      <w:r w:rsidR="00A57C7D" w:rsidRPr="00EA6F3F">
        <w:rPr>
          <w:color w:val="000000" w:themeColor="text1"/>
        </w:rPr>
        <w:t>sely a</w:t>
      </w:r>
      <w:r w:rsidR="001C5E3F" w:rsidRPr="00EA6F3F">
        <w:rPr>
          <w:color w:val="000000" w:themeColor="text1"/>
        </w:rPr>
        <w:t>ffects revenue savings a</w:t>
      </w:r>
      <w:r w:rsidR="00A57C7D" w:rsidRPr="00EA6F3F">
        <w:rPr>
          <w:color w:val="000000" w:themeColor="text1"/>
        </w:rPr>
        <w:t xml:space="preserve">nd additional income in the </w:t>
      </w:r>
      <w:r w:rsidR="00097FD6" w:rsidRPr="00EA6F3F">
        <w:rPr>
          <w:color w:val="000000" w:themeColor="text1"/>
        </w:rPr>
        <w:t>MTFS.</w:t>
      </w:r>
    </w:p>
    <w:p w14:paraId="1EE7D618" w14:textId="09009E69" w:rsidR="00447C29" w:rsidRPr="00EA6F3F" w:rsidRDefault="00D21312" w:rsidP="00712800">
      <w:pPr>
        <w:numPr>
          <w:ilvl w:val="0"/>
          <w:numId w:val="13"/>
        </w:numPr>
        <w:ind w:left="1077" w:right="386" w:hanging="357"/>
      </w:pPr>
      <w:r w:rsidRPr="00EA6F3F">
        <w:rPr>
          <w:color w:val="000000" w:themeColor="text1"/>
        </w:rPr>
        <w:t xml:space="preserve">Cuts by partner organisations such as the County Council adversely affect service </w:t>
      </w:r>
      <w:r w:rsidR="00474F2B" w:rsidRPr="00EA6F3F">
        <w:rPr>
          <w:color w:val="000000" w:themeColor="text1"/>
        </w:rPr>
        <w:t>provision.</w:t>
      </w:r>
    </w:p>
    <w:p w14:paraId="6732B51B" w14:textId="626C01A2" w:rsidR="12B5E433" w:rsidRPr="00572DC5" w:rsidRDefault="12B5E433" w:rsidP="12B5E433">
      <w:pPr>
        <w:tabs>
          <w:tab w:val="left" w:pos="630"/>
        </w:tabs>
        <w:ind w:right="386"/>
        <w:rPr>
          <w:b/>
          <w:highlight w:val="yellow"/>
        </w:rPr>
      </w:pPr>
    </w:p>
    <w:p w14:paraId="3F0D2937" w14:textId="77777777" w:rsidR="00447C29" w:rsidRPr="00DB2808" w:rsidRDefault="005F0903" w:rsidP="00A114CA">
      <w:pPr>
        <w:tabs>
          <w:tab w:val="left" w:pos="630"/>
        </w:tabs>
        <w:ind w:right="386"/>
        <w:rPr>
          <w:b/>
        </w:rPr>
      </w:pPr>
      <w:r w:rsidRPr="00DB2808">
        <w:rPr>
          <w:b/>
        </w:rPr>
        <w:t>Wholly Owned Companies and Joint Ventures</w:t>
      </w:r>
    </w:p>
    <w:p w14:paraId="76F2FC4B" w14:textId="77777777" w:rsidR="00447C29" w:rsidRPr="00DB2808" w:rsidRDefault="00447C29" w:rsidP="00A114CA">
      <w:pPr>
        <w:ind w:right="386"/>
      </w:pPr>
    </w:p>
    <w:p w14:paraId="62C5B6DD" w14:textId="77777777" w:rsidR="00447C29" w:rsidRPr="00DB2808" w:rsidRDefault="001567C0" w:rsidP="12B5E433">
      <w:pPr>
        <w:tabs>
          <w:tab w:val="left" w:pos="630"/>
        </w:tabs>
        <w:ind w:right="386"/>
        <w:rPr>
          <w:rFonts w:cs="Arial"/>
          <w:b/>
        </w:rPr>
      </w:pPr>
      <w:r w:rsidRPr="00DB2808">
        <w:rPr>
          <w:rFonts w:cs="Arial"/>
          <w:b/>
        </w:rPr>
        <w:t>Oxford Direct Services Ltd</w:t>
      </w:r>
    </w:p>
    <w:p w14:paraId="56053299" w14:textId="77777777" w:rsidR="001567C0" w:rsidRPr="00DB2808" w:rsidRDefault="001567C0" w:rsidP="003A0B17">
      <w:pPr>
        <w:tabs>
          <w:tab w:val="left" w:pos="630"/>
        </w:tabs>
        <w:ind w:right="386"/>
        <w:rPr>
          <w:rFonts w:cs="Arial"/>
          <w:b/>
        </w:rPr>
      </w:pPr>
    </w:p>
    <w:p w14:paraId="2072EA28" w14:textId="77777777" w:rsidR="00447C29" w:rsidRPr="00DB2808" w:rsidRDefault="00B74859" w:rsidP="001F2BCF">
      <w:pPr>
        <w:pStyle w:val="ListParagraph"/>
        <w:numPr>
          <w:ilvl w:val="0"/>
          <w:numId w:val="52"/>
        </w:numPr>
        <w:ind w:left="426" w:right="386" w:hanging="426"/>
      </w:pPr>
      <w:r w:rsidRPr="00DB2808">
        <w:t xml:space="preserve">On </w:t>
      </w:r>
      <w:r w:rsidR="00447C29" w:rsidRPr="00DB2808">
        <w:t>1</w:t>
      </w:r>
      <w:r w:rsidR="00447C29" w:rsidRPr="00DB2808">
        <w:rPr>
          <w:vertAlign w:val="superscript"/>
        </w:rPr>
        <w:t>st</w:t>
      </w:r>
      <w:r w:rsidR="00447C29" w:rsidRPr="00DB2808">
        <w:t xml:space="preserve"> April 2016 the Council established a wholly owned local authority trading company for services provided by Direct Services at that</w:t>
      </w:r>
      <w:r w:rsidR="00F94707" w:rsidRPr="00DB2808">
        <w:t xml:space="preserve"> time. The company takes the fo</w:t>
      </w:r>
      <w:r w:rsidR="00FA7EA6" w:rsidRPr="00DB2808">
        <w:t>r</w:t>
      </w:r>
      <w:r w:rsidR="00447C29" w:rsidRPr="00DB2808">
        <w:t>m of:</w:t>
      </w:r>
    </w:p>
    <w:p w14:paraId="738DBA73" w14:textId="77777777" w:rsidR="00447C29" w:rsidRPr="00DB2808" w:rsidRDefault="00447C29" w:rsidP="003A0B17">
      <w:pPr>
        <w:ind w:left="540" w:right="386" w:hanging="720"/>
      </w:pPr>
    </w:p>
    <w:p w14:paraId="1F36B747" w14:textId="322355BB" w:rsidR="00447C29" w:rsidRPr="00DB2808" w:rsidRDefault="00447C29" w:rsidP="00712800">
      <w:pPr>
        <w:pStyle w:val="ListParagraph"/>
        <w:numPr>
          <w:ilvl w:val="0"/>
          <w:numId w:val="14"/>
        </w:numPr>
        <w:ind w:right="386" w:hanging="589"/>
      </w:pPr>
      <w:r w:rsidRPr="00DB2808">
        <w:t xml:space="preserve">A Teckal company (Oxford Direct Services Ltd)– providing all statutory services to the Council benefiting from a procurement exemption together with externally traded services for engineering, motor transport and building </w:t>
      </w:r>
      <w:r w:rsidR="00097FD6" w:rsidRPr="00DB2808">
        <w:t>works.</w:t>
      </w:r>
    </w:p>
    <w:p w14:paraId="1121EF0B" w14:textId="384EDE64" w:rsidR="00447C29" w:rsidRPr="00D30236" w:rsidRDefault="00447C29" w:rsidP="00712800">
      <w:pPr>
        <w:pStyle w:val="ListParagraph"/>
        <w:numPr>
          <w:ilvl w:val="0"/>
          <w:numId w:val="14"/>
        </w:numPr>
        <w:ind w:right="386" w:hanging="589"/>
      </w:pPr>
      <w:r w:rsidRPr="00D30236">
        <w:t xml:space="preserve">A Trading Company (Oxford Direct Services Trading Ltd) – providing externally traded commercial waste </w:t>
      </w:r>
      <w:r w:rsidR="00097FD6" w:rsidRPr="00D30236">
        <w:t>services.</w:t>
      </w:r>
    </w:p>
    <w:p w14:paraId="5DDC4113" w14:textId="77777777" w:rsidR="00447C29" w:rsidRPr="00D30236" w:rsidRDefault="00447C29" w:rsidP="003A0B17">
      <w:pPr>
        <w:ind w:right="386" w:hanging="281"/>
      </w:pPr>
    </w:p>
    <w:p w14:paraId="7ABF64ED" w14:textId="404FF9E5" w:rsidR="007428D2" w:rsidRPr="00D30236" w:rsidRDefault="2D395B77" w:rsidP="001F2BCF">
      <w:pPr>
        <w:pStyle w:val="ListParagraph"/>
        <w:numPr>
          <w:ilvl w:val="0"/>
          <w:numId w:val="52"/>
        </w:numPr>
        <w:ind w:left="426" w:right="386" w:hanging="426"/>
      </w:pPr>
      <w:r w:rsidRPr="00D30236">
        <w:t xml:space="preserve">The </w:t>
      </w:r>
      <w:r w:rsidR="001C0B59" w:rsidRPr="00D30236">
        <w:t>2024-25</w:t>
      </w:r>
      <w:r w:rsidR="00E01D83" w:rsidRPr="00D30236">
        <w:t xml:space="preserve"> </w:t>
      </w:r>
      <w:r w:rsidR="006E1BBB" w:rsidRPr="00D30236">
        <w:t>accounts for ODS</w:t>
      </w:r>
      <w:r w:rsidR="001D431F">
        <w:t xml:space="preserve"> </w:t>
      </w:r>
      <w:r w:rsidR="00DB32EF">
        <w:t xml:space="preserve">have now been signed off </w:t>
      </w:r>
      <w:r w:rsidR="00E01D83" w:rsidRPr="00D30236">
        <w:t xml:space="preserve">by the auditors </w:t>
      </w:r>
      <w:r w:rsidRPr="00D30236">
        <w:t>indicat</w:t>
      </w:r>
      <w:r w:rsidR="00906285">
        <w:t>ing</w:t>
      </w:r>
      <w:r w:rsidRPr="00D30236">
        <w:t xml:space="preserve"> </w:t>
      </w:r>
      <w:r w:rsidR="5C554275" w:rsidRPr="00D30236">
        <w:t xml:space="preserve">an overall surplus of </w:t>
      </w:r>
      <w:r w:rsidR="7D21F0F5" w:rsidRPr="00D30236">
        <w:t>around £</w:t>
      </w:r>
      <w:r w:rsidR="00E01D83" w:rsidRPr="00D30236">
        <w:t>3.11million</w:t>
      </w:r>
      <w:r w:rsidR="009477F9" w:rsidRPr="00D30236">
        <w:t xml:space="preserve"> </w:t>
      </w:r>
      <w:r w:rsidR="00651FC7" w:rsidRPr="00D30236">
        <w:t>a £</w:t>
      </w:r>
      <w:r w:rsidR="00C0504F" w:rsidRPr="00D30236">
        <w:t xml:space="preserve">1 </w:t>
      </w:r>
      <w:r w:rsidR="00D30236" w:rsidRPr="00D30236">
        <w:t>million favourable</w:t>
      </w:r>
      <w:r w:rsidR="00651FC7" w:rsidRPr="00D30236">
        <w:t xml:space="preserve"> variance to the budgeted position</w:t>
      </w:r>
      <w:r w:rsidR="00DB18F8">
        <w:t xml:space="preserve"> for ODSL and </w:t>
      </w:r>
      <w:r w:rsidR="00651FC7" w:rsidRPr="00D30236">
        <w:t>a surplus of £</w:t>
      </w:r>
      <w:r w:rsidR="00592708" w:rsidRPr="00D30236">
        <w:t>1.</w:t>
      </w:r>
      <w:r w:rsidR="00904445">
        <w:t>1</w:t>
      </w:r>
      <w:r w:rsidR="00592708" w:rsidRPr="00D30236">
        <w:t xml:space="preserve"> million</w:t>
      </w:r>
      <w:r w:rsidR="00651FC7" w:rsidRPr="00D30236">
        <w:t>, a favourable variance o</w:t>
      </w:r>
      <w:r w:rsidR="001F6C44" w:rsidRPr="00D30236">
        <w:t xml:space="preserve">f </w:t>
      </w:r>
      <w:r w:rsidR="00D30236" w:rsidRPr="00D30236">
        <w:t>£0.</w:t>
      </w:r>
      <w:r w:rsidR="0080041D">
        <w:t>3</w:t>
      </w:r>
      <w:r w:rsidR="00D30236" w:rsidRPr="00D30236">
        <w:t xml:space="preserve"> million </w:t>
      </w:r>
      <w:r w:rsidR="001F6C44" w:rsidRPr="00D30236">
        <w:t>to budget</w:t>
      </w:r>
      <w:r w:rsidR="00DB18F8">
        <w:t xml:space="preserve"> for ODSTL</w:t>
      </w:r>
      <w:r w:rsidR="001F6C44" w:rsidRPr="00D30236">
        <w:t xml:space="preserve">. </w:t>
      </w:r>
      <w:r w:rsidR="00955090">
        <w:t xml:space="preserve">A dividend of £2.4 million in line with MTFP expectations </w:t>
      </w:r>
      <w:r w:rsidR="001F34F3">
        <w:t>was agreed by shareholders on 4</w:t>
      </w:r>
      <w:r w:rsidR="001F34F3" w:rsidRPr="001F2BCF">
        <w:rPr>
          <w:vertAlign w:val="superscript"/>
        </w:rPr>
        <w:t>th</w:t>
      </w:r>
      <w:r w:rsidR="001F34F3">
        <w:t xml:space="preserve"> December</w:t>
      </w:r>
      <w:r w:rsidR="0043002D">
        <w:t>.</w:t>
      </w:r>
      <w:r w:rsidR="001F34F3">
        <w:t xml:space="preserve"> </w:t>
      </w:r>
      <w:r w:rsidR="004260DF" w:rsidRPr="00D30236">
        <w:t xml:space="preserve"> </w:t>
      </w:r>
      <w:r w:rsidR="007F0BC2" w:rsidRPr="00D30236">
        <w:t xml:space="preserve">  </w:t>
      </w:r>
    </w:p>
    <w:p w14:paraId="6518A9D0" w14:textId="77777777" w:rsidR="007F0BC2" w:rsidRPr="003F09AD" w:rsidRDefault="007F0BC2" w:rsidP="007F0BC2">
      <w:pPr>
        <w:pStyle w:val="ListParagraph"/>
        <w:ind w:right="386"/>
      </w:pPr>
    </w:p>
    <w:p w14:paraId="2C8F7154" w14:textId="67C147E4" w:rsidR="008239CA" w:rsidRPr="003F09AD" w:rsidRDefault="00CE68DD" w:rsidP="001F2BCF">
      <w:pPr>
        <w:pStyle w:val="ListParagraph"/>
        <w:numPr>
          <w:ilvl w:val="0"/>
          <w:numId w:val="52"/>
        </w:numPr>
        <w:ind w:left="426" w:right="386" w:hanging="426"/>
      </w:pPr>
      <w:r>
        <w:t>T</w:t>
      </w:r>
      <w:r w:rsidR="2A59FB7A" w:rsidRPr="003F09AD">
        <w:t xml:space="preserve">he </w:t>
      </w:r>
      <w:r w:rsidR="005A413D" w:rsidRPr="003F09AD">
        <w:t>last</w:t>
      </w:r>
      <w:r w:rsidR="23C9F23B" w:rsidRPr="003F09AD">
        <w:t xml:space="preserve"> </w:t>
      </w:r>
      <w:r w:rsidR="00653A9E" w:rsidRPr="003F09AD">
        <w:t>Business Plan</w:t>
      </w:r>
      <w:r w:rsidR="10DB8133" w:rsidRPr="003F09AD">
        <w:t>s</w:t>
      </w:r>
      <w:r w:rsidR="00653A9E" w:rsidRPr="003F09AD">
        <w:t xml:space="preserve"> </w:t>
      </w:r>
      <w:r w:rsidR="005A413D" w:rsidRPr="003F09AD">
        <w:t xml:space="preserve">presented </w:t>
      </w:r>
      <w:r w:rsidR="57EB02B3" w:rsidRPr="003F09AD">
        <w:t>to shareholder</w:t>
      </w:r>
      <w:r w:rsidR="33AEBA6F" w:rsidRPr="003F09AD">
        <w:t>s</w:t>
      </w:r>
      <w:r w:rsidR="57EB02B3" w:rsidRPr="003F09AD">
        <w:t xml:space="preserve"> </w:t>
      </w:r>
      <w:r w:rsidR="7259AF72" w:rsidRPr="003F09AD">
        <w:t xml:space="preserve">in </w:t>
      </w:r>
      <w:r w:rsidR="007B04C8">
        <w:t>April</w:t>
      </w:r>
      <w:r w:rsidR="005A413D" w:rsidRPr="003F09AD">
        <w:t xml:space="preserve"> </w:t>
      </w:r>
      <w:r w:rsidR="6425525B" w:rsidRPr="003F09AD">
        <w:t>202</w:t>
      </w:r>
      <w:r w:rsidR="005A413D" w:rsidRPr="003F09AD">
        <w:t>5</w:t>
      </w:r>
      <w:r w:rsidR="00752F2C" w:rsidRPr="003F09AD">
        <w:t xml:space="preserve"> </w:t>
      </w:r>
      <w:r w:rsidR="000700C5" w:rsidRPr="003F09AD">
        <w:t>forecast a less than favourable outlook</w:t>
      </w:r>
      <w:r w:rsidR="64828A5E" w:rsidRPr="003F09AD">
        <w:t>.</w:t>
      </w:r>
      <w:r w:rsidR="00193099" w:rsidRPr="003F09AD">
        <w:t xml:space="preserve"> </w:t>
      </w:r>
      <w:r w:rsidR="00CB4DE5" w:rsidRPr="003F09AD">
        <w:t xml:space="preserve">For ODSL the Plan indicated </w:t>
      </w:r>
      <w:r w:rsidR="006A28CE" w:rsidRPr="003F09AD">
        <w:t xml:space="preserve">decreasing profit projections from 2025-26 onwards </w:t>
      </w:r>
      <w:r w:rsidR="002A485B" w:rsidRPr="003F09AD">
        <w:t xml:space="preserve">with 2028-29 surpluses reducing to zero. </w:t>
      </w:r>
      <w:r w:rsidR="00470AF7" w:rsidRPr="003F09AD">
        <w:t xml:space="preserve">The company sight increasing </w:t>
      </w:r>
      <w:r w:rsidR="008239CA" w:rsidRPr="003F09AD">
        <w:t xml:space="preserve">unfunded </w:t>
      </w:r>
      <w:r w:rsidR="00470AF7" w:rsidRPr="003F09AD">
        <w:t xml:space="preserve">inflationary pressures </w:t>
      </w:r>
      <w:r w:rsidR="008239CA" w:rsidRPr="003F09AD">
        <w:t xml:space="preserve">which are more prevalent in housing repairs. </w:t>
      </w:r>
      <w:r w:rsidR="00E64AC2" w:rsidRPr="003F09AD">
        <w:t xml:space="preserve">Property services </w:t>
      </w:r>
      <w:r w:rsidR="00FA3100" w:rsidRPr="003F09AD">
        <w:t xml:space="preserve">continue to </w:t>
      </w:r>
      <w:r w:rsidR="00E64AC2" w:rsidRPr="003F09AD">
        <w:t xml:space="preserve">drive the majority of surpluses </w:t>
      </w:r>
      <w:r w:rsidR="00432E79" w:rsidRPr="003F09AD">
        <w:t xml:space="preserve">although </w:t>
      </w:r>
      <w:r w:rsidR="00FA3100" w:rsidRPr="003F09AD">
        <w:t>this will onl</w:t>
      </w:r>
      <w:r w:rsidR="00B66D00" w:rsidRPr="003F09AD">
        <w:t xml:space="preserve">y </w:t>
      </w:r>
      <w:r w:rsidR="00464790" w:rsidRPr="003F09AD">
        <w:t xml:space="preserve">defer the decline of overall surpluses. </w:t>
      </w:r>
      <w:r w:rsidR="00B44608" w:rsidRPr="003F09AD">
        <w:t xml:space="preserve">The allocation of more housing related work from the Council to the Company </w:t>
      </w:r>
      <w:r w:rsidR="00FD7DC0" w:rsidRPr="003F09AD">
        <w:t>would be one m</w:t>
      </w:r>
      <w:r w:rsidR="00464790" w:rsidRPr="003F09AD">
        <w:t xml:space="preserve">itigation </w:t>
      </w:r>
      <w:r w:rsidR="00FD7DC0" w:rsidRPr="003F09AD">
        <w:t xml:space="preserve">although </w:t>
      </w:r>
      <w:r w:rsidR="00A4025F" w:rsidRPr="003F09AD">
        <w:t xml:space="preserve">it is unclear </w:t>
      </w:r>
      <w:r w:rsidR="00B44608" w:rsidRPr="003F09AD">
        <w:t>whether this will occur</w:t>
      </w:r>
      <w:r w:rsidR="004240DF">
        <w:t xml:space="preserve"> under more rigorous clienting and commissioning from the Council</w:t>
      </w:r>
      <w:r w:rsidR="00B44608" w:rsidRPr="003F09AD">
        <w:t xml:space="preserve">. </w:t>
      </w:r>
    </w:p>
    <w:p w14:paraId="15FB7497" w14:textId="77777777" w:rsidR="008239CA" w:rsidRPr="003F09AD" w:rsidRDefault="008239CA" w:rsidP="008239CA">
      <w:pPr>
        <w:pStyle w:val="ListParagraph"/>
      </w:pPr>
    </w:p>
    <w:p w14:paraId="6AC571CC" w14:textId="7CEFEA30" w:rsidR="00DE735E" w:rsidRDefault="008239CA" w:rsidP="001F2BCF">
      <w:pPr>
        <w:pStyle w:val="ListParagraph"/>
        <w:numPr>
          <w:ilvl w:val="0"/>
          <w:numId w:val="52"/>
        </w:numPr>
        <w:ind w:left="426" w:right="386" w:hanging="426"/>
      </w:pPr>
      <w:r w:rsidRPr="003F09AD">
        <w:t>ODSTL Business Plan fare</w:t>
      </w:r>
      <w:r w:rsidR="004E5363">
        <w:t>d</w:t>
      </w:r>
      <w:r w:rsidRPr="003F09AD">
        <w:t xml:space="preserve"> slightly better</w:t>
      </w:r>
      <w:r w:rsidR="004240DF">
        <w:t>,</w:t>
      </w:r>
      <w:r w:rsidRPr="003F09AD">
        <w:t xml:space="preserve"> with surpluses forecast to </w:t>
      </w:r>
      <w:r w:rsidR="00DF4E88" w:rsidRPr="003F09AD">
        <w:t xml:space="preserve">rise from £623k in 2025-26 to an estimated </w:t>
      </w:r>
      <w:r w:rsidR="005E1B09" w:rsidRPr="003F09AD">
        <w:t>£2.5 million in 2028-29</w:t>
      </w:r>
      <w:r w:rsidR="00007509" w:rsidRPr="003F09AD">
        <w:t xml:space="preserve"> driven by </w:t>
      </w:r>
      <w:r w:rsidR="00DE735E" w:rsidRPr="003F09AD">
        <w:t>organic</w:t>
      </w:r>
      <w:r w:rsidR="00007509" w:rsidRPr="003F09AD">
        <w:t xml:space="preserve">, aspirational </w:t>
      </w:r>
      <w:r w:rsidR="00A04516" w:rsidRPr="003F09AD">
        <w:t>growth</w:t>
      </w:r>
      <w:r w:rsidR="00595BF1">
        <w:t>,</w:t>
      </w:r>
      <w:r w:rsidR="00A04516" w:rsidRPr="003F09AD">
        <w:t xml:space="preserve"> </w:t>
      </w:r>
      <w:r w:rsidR="00DE735E" w:rsidRPr="003F09AD">
        <w:t>particularly</w:t>
      </w:r>
      <w:r w:rsidR="00A04516" w:rsidRPr="003F09AD">
        <w:t xml:space="preserve"> in commercial waste</w:t>
      </w:r>
      <w:r w:rsidR="00456DD0">
        <w:t>,</w:t>
      </w:r>
      <w:r w:rsidR="00A04516" w:rsidRPr="003F09AD">
        <w:t xml:space="preserve"> property </w:t>
      </w:r>
      <w:r w:rsidR="00DE735E" w:rsidRPr="003F09AD">
        <w:t>services</w:t>
      </w:r>
      <w:r w:rsidR="00BE3497">
        <w:t xml:space="preserve">, facilities management and </w:t>
      </w:r>
      <w:r w:rsidR="00A9459B">
        <w:t>acquisitions</w:t>
      </w:r>
      <w:r w:rsidR="005E1B09" w:rsidRPr="003F09AD">
        <w:t xml:space="preserve">. </w:t>
      </w:r>
    </w:p>
    <w:p w14:paraId="47846D38" w14:textId="77777777" w:rsidR="004E5363" w:rsidRDefault="004E5363" w:rsidP="001F2BCF">
      <w:pPr>
        <w:pStyle w:val="ListParagraph"/>
      </w:pPr>
    </w:p>
    <w:p w14:paraId="01A8E5CC" w14:textId="0E56EDA0" w:rsidR="004E5363" w:rsidRPr="003F09AD" w:rsidRDefault="001A6964" w:rsidP="001F2BCF">
      <w:pPr>
        <w:pStyle w:val="ListParagraph"/>
        <w:numPr>
          <w:ilvl w:val="0"/>
          <w:numId w:val="52"/>
        </w:numPr>
        <w:ind w:left="426" w:right="386" w:hanging="426"/>
      </w:pPr>
      <w:r>
        <w:t>At shareholders on 4</w:t>
      </w:r>
      <w:r w:rsidRPr="001F2BCF">
        <w:rPr>
          <w:vertAlign w:val="superscript"/>
        </w:rPr>
        <w:t>th</w:t>
      </w:r>
      <w:r>
        <w:t xml:space="preserve"> December a revised business plan was presented to shareholders for the 2 companies. For ODSTL the </w:t>
      </w:r>
      <w:r w:rsidR="001A5022">
        <w:t>growth of s</w:t>
      </w:r>
      <w:r w:rsidR="00FE12C5">
        <w:t>urpluses</w:t>
      </w:r>
      <w:r w:rsidR="001A5022">
        <w:t xml:space="preserve"> is less aggressive than previously </w:t>
      </w:r>
      <w:r w:rsidR="00991B95">
        <w:t>shown with surpluses of £2.5 million topping out in 2029-30 rather than 2028-29 shown previously. ODSL surplus indicate</w:t>
      </w:r>
      <w:r w:rsidR="00681B1A">
        <w:t>s</w:t>
      </w:r>
      <w:r w:rsidR="00991B95">
        <w:t xml:space="preserve"> more optimism</w:t>
      </w:r>
      <w:r w:rsidR="00681B1A">
        <w:t>,</w:t>
      </w:r>
      <w:r w:rsidR="00991B95">
        <w:t xml:space="preserve"> </w:t>
      </w:r>
      <w:r w:rsidR="00A62445">
        <w:t>arising from increased payments from the council, a reduction in overheads by the Company</w:t>
      </w:r>
      <w:r w:rsidR="00681B1A">
        <w:t>,</w:t>
      </w:r>
      <w:r w:rsidR="00A62445">
        <w:t xml:space="preserve"> </w:t>
      </w:r>
      <w:r w:rsidR="009D3B5A">
        <w:t>as well as potential increased volume of work from the Council. Whilst the surpluses continue to decline the indications are that they will stay above breakeven over the next 4 year MTFP period.</w:t>
      </w:r>
      <w:r w:rsidR="001A5022">
        <w:t xml:space="preserve"> </w:t>
      </w:r>
    </w:p>
    <w:p w14:paraId="33AB8CF5" w14:textId="77777777" w:rsidR="00DE735E" w:rsidRPr="003F09AD" w:rsidRDefault="00DE735E" w:rsidP="00DE735E">
      <w:pPr>
        <w:pStyle w:val="ListParagraph"/>
      </w:pPr>
    </w:p>
    <w:p w14:paraId="2E2D2DBD" w14:textId="0687BC0C" w:rsidR="00465559" w:rsidRDefault="00DE735E" w:rsidP="001F2BCF">
      <w:pPr>
        <w:pStyle w:val="ListParagraph"/>
        <w:numPr>
          <w:ilvl w:val="0"/>
          <w:numId w:val="52"/>
        </w:numPr>
        <w:ind w:left="426" w:right="386" w:hanging="426"/>
      </w:pPr>
      <w:r w:rsidRPr="003F09AD">
        <w:t xml:space="preserve">The decline of surpluses in ODSL </w:t>
      </w:r>
      <w:r w:rsidR="008A026F" w:rsidRPr="003F09AD">
        <w:t xml:space="preserve">is shown </w:t>
      </w:r>
      <w:r w:rsidR="00952D2C">
        <w:t xml:space="preserve">below </w:t>
      </w:r>
      <w:r w:rsidR="008A026F" w:rsidRPr="003F09AD">
        <w:t xml:space="preserve">as being replaced by surpluses in ODSTL and hence the overall dividend </w:t>
      </w:r>
      <w:r w:rsidR="00053EAC">
        <w:t xml:space="preserve">to </w:t>
      </w:r>
      <w:r w:rsidR="008A026F" w:rsidRPr="003F09AD">
        <w:t>the council should remain stable</w:t>
      </w:r>
      <w:r w:rsidR="009554E2">
        <w:t xml:space="preserve"> </w:t>
      </w:r>
      <w:r w:rsidR="009554E2">
        <w:lastRenderedPageBreak/>
        <w:t>especially as the company also has access to other retained profit</w:t>
      </w:r>
      <w:r w:rsidR="006C290D">
        <w:t xml:space="preserve">. </w:t>
      </w:r>
      <w:r w:rsidR="000479E0">
        <w:t xml:space="preserve">A prudent amount of dividend of </w:t>
      </w:r>
      <w:r w:rsidR="008A026F" w:rsidRPr="003F09AD">
        <w:t xml:space="preserve">around </w:t>
      </w:r>
      <w:r w:rsidR="003F09AD" w:rsidRPr="003F09AD">
        <w:t xml:space="preserve">£2.4 million </w:t>
      </w:r>
      <w:r w:rsidR="00940B9B">
        <w:t xml:space="preserve">per annum </w:t>
      </w:r>
      <w:r w:rsidR="000479E0">
        <w:t xml:space="preserve">has been estimated </w:t>
      </w:r>
      <w:r w:rsidR="003F09AD" w:rsidRPr="003F09AD">
        <w:t xml:space="preserve">over the </w:t>
      </w:r>
      <w:r w:rsidR="00587E00">
        <w:t xml:space="preserve">4 year </w:t>
      </w:r>
      <w:r w:rsidR="003F09AD" w:rsidRPr="003F09AD">
        <w:t>period</w:t>
      </w:r>
      <w:r w:rsidR="00587E00">
        <w:t xml:space="preserve"> of the MTFP</w:t>
      </w:r>
      <w:r w:rsidR="0086646E">
        <w:t xml:space="preserve"> </w:t>
      </w:r>
      <w:r w:rsidR="0079257D">
        <w:t>i.e.</w:t>
      </w:r>
      <w:r w:rsidR="0086646E">
        <w:t xml:space="preserve"> a reduction of around £2.4 million over the 4 year period</w:t>
      </w:r>
      <w:r w:rsidR="00AE5127">
        <w:t xml:space="preserve"> to that previously forecast</w:t>
      </w:r>
      <w:r w:rsidR="003F09AD" w:rsidRPr="003F09AD">
        <w:t xml:space="preserve">. </w:t>
      </w:r>
    </w:p>
    <w:p w14:paraId="6A6610A1" w14:textId="77777777" w:rsidR="00712800" w:rsidRDefault="00712800" w:rsidP="00712800">
      <w:pPr>
        <w:pStyle w:val="ListParagraph"/>
      </w:pPr>
    </w:p>
    <w:p w14:paraId="74130F7F" w14:textId="3279049B" w:rsidR="00E0077E" w:rsidRDefault="002A51B8" w:rsidP="00E0077E">
      <w:pPr>
        <w:pStyle w:val="ListParagraph"/>
        <w:ind w:left="426" w:right="386"/>
        <w:rPr>
          <w:b/>
          <w:bCs/>
        </w:rPr>
      </w:pPr>
      <w:r w:rsidRPr="002A51B8">
        <w:rPr>
          <w:b/>
          <w:bCs/>
        </w:rPr>
        <w:t xml:space="preserve">Table </w:t>
      </w:r>
      <w:r w:rsidR="009004FF">
        <w:rPr>
          <w:b/>
          <w:bCs/>
        </w:rPr>
        <w:t>6</w:t>
      </w:r>
      <w:r w:rsidR="00CA7F4B">
        <w:rPr>
          <w:b/>
          <w:bCs/>
        </w:rPr>
        <w:t xml:space="preserve"> Oxford Direct Services Surpluses and Estimated Dividend</w:t>
      </w:r>
    </w:p>
    <w:p w14:paraId="6B8E80EC" w14:textId="306D324B" w:rsidR="00712800" w:rsidRPr="002A51B8" w:rsidRDefault="003A02F9" w:rsidP="00E0077E">
      <w:pPr>
        <w:pStyle w:val="ListParagraph"/>
        <w:ind w:left="426" w:right="386"/>
        <w:rPr>
          <w:b/>
          <w:bCs/>
        </w:rPr>
      </w:pPr>
      <w:r w:rsidRPr="003A02F9">
        <w:rPr>
          <w:noProof/>
        </w:rPr>
        <w:drawing>
          <wp:inline distT="0" distB="0" distL="0" distR="0" wp14:anchorId="51745FBB" wp14:editId="7BB3811D">
            <wp:extent cx="4883150" cy="2451100"/>
            <wp:effectExtent l="0" t="0" r="0" b="6350"/>
            <wp:docPr id="3831480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83150" cy="2451100"/>
                    </a:xfrm>
                    <a:prstGeom prst="rect">
                      <a:avLst/>
                    </a:prstGeom>
                    <a:noFill/>
                    <a:ln>
                      <a:noFill/>
                    </a:ln>
                  </pic:spPr>
                </pic:pic>
              </a:graphicData>
            </a:graphic>
          </wp:inline>
        </w:drawing>
      </w:r>
    </w:p>
    <w:p w14:paraId="21B815E8" w14:textId="5879BC58" w:rsidR="00465559" w:rsidRPr="003F09AD" w:rsidRDefault="00465559" w:rsidP="00465559">
      <w:pPr>
        <w:pStyle w:val="ListParagraph"/>
        <w:ind w:left="426" w:right="386"/>
      </w:pPr>
    </w:p>
    <w:p w14:paraId="5CF88EDE" w14:textId="77777777" w:rsidR="000C178A" w:rsidRPr="00572DC5" w:rsidRDefault="000C178A" w:rsidP="000C178A">
      <w:pPr>
        <w:pStyle w:val="ListParagraph"/>
        <w:rPr>
          <w:highlight w:val="yellow"/>
        </w:rPr>
      </w:pPr>
    </w:p>
    <w:p w14:paraId="6C1137B0" w14:textId="301C7ECE" w:rsidR="00FC02F0" w:rsidRPr="001E1B7F" w:rsidRDefault="001E1B7F" w:rsidP="001E1B7F">
      <w:pPr>
        <w:ind w:left="993" w:right="386" w:hanging="567"/>
        <w:rPr>
          <w:bCs/>
        </w:rPr>
      </w:pPr>
      <w:r w:rsidRPr="001E1B7F">
        <w:rPr>
          <w:bCs/>
        </w:rPr>
        <w:t>Note : The dividend is paid to the council</w:t>
      </w:r>
      <w:r w:rsidR="00080CB5">
        <w:rPr>
          <w:bCs/>
        </w:rPr>
        <w:t xml:space="preserve"> in </w:t>
      </w:r>
      <w:r w:rsidRPr="001E1B7F">
        <w:rPr>
          <w:bCs/>
        </w:rPr>
        <w:t>the year after the year to which it relates</w:t>
      </w:r>
      <w:r w:rsidR="004825C3" w:rsidRPr="001E1B7F">
        <w:rPr>
          <w:bCs/>
        </w:rPr>
        <w:t xml:space="preserve">     </w:t>
      </w:r>
    </w:p>
    <w:p w14:paraId="5132E8F3" w14:textId="77777777" w:rsidR="004825C3" w:rsidRDefault="004825C3" w:rsidP="004825C3">
      <w:pPr>
        <w:ind w:right="386"/>
        <w:rPr>
          <w:b/>
        </w:rPr>
      </w:pPr>
    </w:p>
    <w:p w14:paraId="38DC5D41" w14:textId="77777777" w:rsidR="004825C3" w:rsidRPr="004825C3" w:rsidRDefault="004825C3" w:rsidP="004825C3">
      <w:pPr>
        <w:ind w:right="386"/>
        <w:rPr>
          <w:b/>
        </w:rPr>
      </w:pPr>
    </w:p>
    <w:p w14:paraId="31356D39" w14:textId="60F6F24C" w:rsidR="00214432" w:rsidRPr="00CB3630" w:rsidRDefault="00214432" w:rsidP="00CB3630">
      <w:pPr>
        <w:spacing w:after="200" w:line="276" w:lineRule="auto"/>
        <w:ind w:right="386"/>
        <w:contextualSpacing/>
        <w:jc w:val="both"/>
        <w:rPr>
          <w:b/>
        </w:rPr>
      </w:pPr>
      <w:r w:rsidRPr="00CB3630">
        <w:rPr>
          <w:b/>
        </w:rPr>
        <w:t>Housing Company</w:t>
      </w:r>
      <w:r w:rsidR="007444C0" w:rsidRPr="00CB3630">
        <w:rPr>
          <w:b/>
        </w:rPr>
        <w:t>- Oxford City Housing Ltd</w:t>
      </w:r>
      <w:r w:rsidR="0007294E" w:rsidRPr="00CB3630">
        <w:rPr>
          <w:b/>
        </w:rPr>
        <w:t xml:space="preserve"> trading as OX Place</w:t>
      </w:r>
    </w:p>
    <w:p w14:paraId="69ABFAEC" w14:textId="26AC261C" w:rsidR="00214432" w:rsidRPr="00A5784A" w:rsidRDefault="00214432" w:rsidP="001F2BCF">
      <w:pPr>
        <w:pStyle w:val="Default"/>
        <w:numPr>
          <w:ilvl w:val="0"/>
          <w:numId w:val="52"/>
        </w:numPr>
        <w:ind w:left="426" w:right="386" w:hanging="426"/>
      </w:pPr>
      <w:r w:rsidRPr="00A5784A">
        <w:t xml:space="preserve">March 2016 the Council approved the establishment of a </w:t>
      </w:r>
      <w:r w:rsidR="001B13BD" w:rsidRPr="00A5784A">
        <w:t xml:space="preserve">wholly owned </w:t>
      </w:r>
      <w:r w:rsidRPr="00A5784A">
        <w:t xml:space="preserve">Local Authority housing company that </w:t>
      </w:r>
      <w:r w:rsidR="001B13BD" w:rsidRPr="00A5784A">
        <w:t>was incorporated in June 20</w:t>
      </w:r>
      <w:r w:rsidR="00BC505F" w:rsidRPr="00A5784A">
        <w:t xml:space="preserve">16, Oxford City Housing Limited with the objective of delivering affordable housing and </w:t>
      </w:r>
      <w:r w:rsidR="0044500D" w:rsidRPr="00A5784A">
        <w:t>also</w:t>
      </w:r>
      <w:r w:rsidR="00BC505F" w:rsidRPr="00A5784A">
        <w:t xml:space="preserve"> a financial return back to the council. The Company, consisting of a holding company OCHL (Holding) Ltd, a development company, OCHL (Development) Ltd and an investment company OCHL (Investment) Ltd trades as OX Place. </w:t>
      </w:r>
    </w:p>
    <w:p w14:paraId="0DCAEE77" w14:textId="77777777" w:rsidR="007B0D43" w:rsidRPr="00A5784A" w:rsidRDefault="007B0D43" w:rsidP="007B0D43">
      <w:pPr>
        <w:pStyle w:val="ListParagraph"/>
      </w:pPr>
    </w:p>
    <w:p w14:paraId="7AA06960" w14:textId="2A9BF585" w:rsidR="150478FC" w:rsidRPr="0093282C" w:rsidRDefault="150478FC" w:rsidP="001F2BCF">
      <w:pPr>
        <w:pStyle w:val="Default"/>
        <w:numPr>
          <w:ilvl w:val="0"/>
          <w:numId w:val="52"/>
        </w:numPr>
        <w:ind w:left="426" w:hanging="426"/>
        <w:rPr>
          <w:rFonts w:eastAsia="Arial"/>
        </w:rPr>
      </w:pPr>
      <w:r w:rsidRPr="00A5784A">
        <w:t>In Nov</w:t>
      </w:r>
      <w:r w:rsidR="71149C18" w:rsidRPr="00A5784A">
        <w:t>e</w:t>
      </w:r>
      <w:r w:rsidRPr="00A5784A">
        <w:t xml:space="preserve">mber 2024 shareholders agreed to the transfer of properties from the Barton </w:t>
      </w:r>
      <w:r w:rsidR="06DCF3DA" w:rsidRPr="00A5784A">
        <w:t xml:space="preserve">development that were managed by OCH(I)L to be transferred to the Councils HRA. </w:t>
      </w:r>
      <w:r w:rsidRPr="00A5784A">
        <w:t xml:space="preserve"> </w:t>
      </w:r>
      <w:r w:rsidR="5F450AC4" w:rsidRPr="00A5784A">
        <w:t xml:space="preserve">This decision was ratified at Council on </w:t>
      </w:r>
      <w:r w:rsidR="312FAF32" w:rsidRPr="00A5784A">
        <w:t>25</w:t>
      </w:r>
      <w:r w:rsidR="312FAF32" w:rsidRPr="00A5784A">
        <w:rPr>
          <w:vertAlign w:val="superscript"/>
        </w:rPr>
        <w:t>th</w:t>
      </w:r>
      <w:r w:rsidR="312FAF32" w:rsidRPr="00A5784A">
        <w:t xml:space="preserve"> November 2024 together with a decision for all future properties from the Barton development to be </w:t>
      </w:r>
      <w:r w:rsidR="4168A071" w:rsidRPr="00A5784A">
        <w:t>purchased</w:t>
      </w:r>
      <w:r w:rsidR="312FAF32" w:rsidRPr="00A5784A">
        <w:t xml:space="preserve"> by the Council. </w:t>
      </w:r>
      <w:r w:rsidR="007B0D43" w:rsidRPr="00A5784A">
        <w:t xml:space="preserve"> </w:t>
      </w:r>
      <w:r w:rsidR="781DA9F2" w:rsidRPr="00A5784A">
        <w:rPr>
          <w:rFonts w:eastAsia="Arial"/>
        </w:rPr>
        <w:t xml:space="preserve"> </w:t>
      </w:r>
      <w:r w:rsidR="0738CD6B" w:rsidRPr="0093282C">
        <w:rPr>
          <w:rFonts w:eastAsia="Arial"/>
        </w:rPr>
        <w:t>T</w:t>
      </w:r>
      <w:r w:rsidR="6FF04727" w:rsidRPr="0093282C">
        <w:rPr>
          <w:rFonts w:eastAsia="Arial"/>
        </w:rPr>
        <w:t xml:space="preserve">he company </w:t>
      </w:r>
      <w:r w:rsidR="77D5F2C3" w:rsidRPr="0093282C">
        <w:rPr>
          <w:rFonts w:eastAsia="Arial"/>
        </w:rPr>
        <w:t xml:space="preserve">will </w:t>
      </w:r>
      <w:r w:rsidR="6FF04727" w:rsidRPr="0093282C">
        <w:rPr>
          <w:rFonts w:eastAsia="Arial"/>
        </w:rPr>
        <w:t>becom</w:t>
      </w:r>
      <w:r w:rsidR="102B9AFC" w:rsidRPr="0093282C">
        <w:rPr>
          <w:rFonts w:eastAsia="Arial"/>
        </w:rPr>
        <w:t>e</w:t>
      </w:r>
      <w:r w:rsidR="6FF04727" w:rsidRPr="0093282C">
        <w:rPr>
          <w:rFonts w:eastAsia="Arial"/>
        </w:rPr>
        <w:t xml:space="preserve"> </w:t>
      </w:r>
      <w:r w:rsidR="011D8A4A" w:rsidRPr="0093282C">
        <w:rPr>
          <w:rFonts w:eastAsia="Arial"/>
        </w:rPr>
        <w:t xml:space="preserve">a </w:t>
      </w:r>
      <w:r w:rsidR="6FF04727" w:rsidRPr="0093282C">
        <w:rPr>
          <w:rFonts w:eastAsia="Arial"/>
        </w:rPr>
        <w:t>dormant legal entity pending a decision on its future use.</w:t>
      </w:r>
      <w:r w:rsidR="4399ED63" w:rsidRPr="0093282C">
        <w:rPr>
          <w:rFonts w:eastAsia="Arial"/>
        </w:rPr>
        <w:t xml:space="preserve"> </w:t>
      </w:r>
    </w:p>
    <w:p w14:paraId="0F789525" w14:textId="77777777" w:rsidR="00F42D9C" w:rsidRPr="0093282C" w:rsidRDefault="00F42D9C" w:rsidP="00F42D9C">
      <w:pPr>
        <w:pStyle w:val="Default"/>
        <w:ind w:left="426"/>
        <w:rPr>
          <w:rFonts w:eastAsia="Arial"/>
        </w:rPr>
      </w:pPr>
    </w:p>
    <w:p w14:paraId="69A5AB39" w14:textId="30B24D76" w:rsidR="6E99BC2B" w:rsidRPr="0093282C" w:rsidRDefault="00D357EE" w:rsidP="001F2BCF">
      <w:pPr>
        <w:pStyle w:val="Default"/>
        <w:numPr>
          <w:ilvl w:val="0"/>
          <w:numId w:val="52"/>
        </w:numPr>
        <w:ind w:left="426" w:hanging="426"/>
        <w:rPr>
          <w:rFonts w:eastAsia="Arial"/>
        </w:rPr>
      </w:pPr>
      <w:r w:rsidRPr="0093282C">
        <w:t xml:space="preserve">The 2024-25 </w:t>
      </w:r>
      <w:r w:rsidR="001F2D40" w:rsidRPr="0093282C">
        <w:t xml:space="preserve">audited </w:t>
      </w:r>
      <w:r w:rsidRPr="0093282C">
        <w:t xml:space="preserve">accounts were presented to shareholders in </w:t>
      </w:r>
      <w:r w:rsidR="00BC3BDF">
        <w:t xml:space="preserve">November </w:t>
      </w:r>
      <w:r w:rsidR="001F2D40" w:rsidRPr="0093282C">
        <w:t>2025</w:t>
      </w:r>
      <w:r w:rsidR="009F228B">
        <w:t xml:space="preserve"> with a recommendation </w:t>
      </w:r>
      <w:r w:rsidR="00AE5E34">
        <w:t xml:space="preserve">for a dividend payment to the shareholder of </w:t>
      </w:r>
      <w:r w:rsidR="00526576">
        <w:t>£4.</w:t>
      </w:r>
      <w:r w:rsidR="00E418EB">
        <w:t>463</w:t>
      </w:r>
      <w:r w:rsidR="00526576">
        <w:t xml:space="preserve"> million following the payment of £5 million of dividends in the previous 2 years</w:t>
      </w:r>
      <w:r w:rsidR="001F2D40" w:rsidRPr="0093282C">
        <w:t xml:space="preserve">. </w:t>
      </w:r>
      <w:r w:rsidR="00E35D38" w:rsidRPr="0093282C">
        <w:t xml:space="preserve"> </w:t>
      </w:r>
    </w:p>
    <w:p w14:paraId="4F96B3C2" w14:textId="77777777" w:rsidR="00F42D9C" w:rsidRPr="0093282C" w:rsidRDefault="00F42D9C" w:rsidP="00F42D9C">
      <w:pPr>
        <w:pStyle w:val="ListParagraph"/>
        <w:rPr>
          <w:rFonts w:eastAsia="Arial"/>
        </w:rPr>
      </w:pPr>
    </w:p>
    <w:p w14:paraId="0EC889D9" w14:textId="35718A5A" w:rsidR="7DC71127" w:rsidRPr="0093282C" w:rsidRDefault="002C78F8" w:rsidP="001F2BCF">
      <w:pPr>
        <w:pStyle w:val="ListParagraph"/>
        <w:numPr>
          <w:ilvl w:val="0"/>
          <w:numId w:val="52"/>
        </w:numPr>
        <w:spacing w:after="160" w:line="257" w:lineRule="auto"/>
        <w:ind w:left="426" w:hanging="426"/>
        <w:rPr>
          <w:rFonts w:eastAsia="Arial" w:cs="Arial"/>
          <w:lang w:val="en-US"/>
        </w:rPr>
      </w:pPr>
      <w:r w:rsidRPr="0093282C">
        <w:rPr>
          <w:rFonts w:eastAsia="Arial" w:cs="Arial"/>
          <w:lang w:val="en-US"/>
        </w:rPr>
        <w:t xml:space="preserve">The Company </w:t>
      </w:r>
      <w:r w:rsidR="00A5784A" w:rsidRPr="0093282C">
        <w:rPr>
          <w:rFonts w:eastAsia="Arial" w:cs="Arial"/>
          <w:lang w:val="en-US"/>
        </w:rPr>
        <w:t>are also intending to pay a dividend of £3</w:t>
      </w:r>
      <w:r w:rsidR="00C523A7">
        <w:rPr>
          <w:rFonts w:eastAsia="Arial" w:cs="Arial"/>
          <w:lang w:val="en-US"/>
        </w:rPr>
        <w:t xml:space="preserve"> </w:t>
      </w:r>
      <w:r w:rsidR="00A5784A" w:rsidRPr="0093282C">
        <w:rPr>
          <w:rFonts w:eastAsia="Arial" w:cs="Arial"/>
          <w:lang w:val="en-US"/>
        </w:rPr>
        <w:t xml:space="preserve">million in </w:t>
      </w:r>
      <w:r w:rsidR="007518D6" w:rsidRPr="0093282C">
        <w:rPr>
          <w:rFonts w:eastAsia="Arial" w:cs="Arial"/>
          <w:lang w:val="en-US"/>
        </w:rPr>
        <w:t xml:space="preserve">2026-27 </w:t>
      </w:r>
      <w:r w:rsidR="00A5784A" w:rsidRPr="0093282C">
        <w:rPr>
          <w:rFonts w:eastAsia="Arial" w:cs="Arial"/>
          <w:lang w:val="en-US"/>
        </w:rPr>
        <w:t>which has been factored into the MTF</w:t>
      </w:r>
      <w:r w:rsidR="00EF58EE">
        <w:rPr>
          <w:rFonts w:eastAsia="Arial" w:cs="Arial"/>
          <w:lang w:val="en-US"/>
        </w:rPr>
        <w:t>S</w:t>
      </w:r>
      <w:r w:rsidR="00A5784A" w:rsidRPr="0093282C">
        <w:rPr>
          <w:rFonts w:eastAsia="Arial" w:cs="Arial"/>
          <w:lang w:val="en-US"/>
        </w:rPr>
        <w:t xml:space="preserve">. </w:t>
      </w:r>
      <w:r w:rsidR="007518D6" w:rsidRPr="0093282C">
        <w:rPr>
          <w:rFonts w:eastAsia="Arial" w:cs="Arial"/>
          <w:lang w:val="en-US"/>
        </w:rPr>
        <w:t>After this</w:t>
      </w:r>
      <w:r w:rsidR="0093282C" w:rsidRPr="0093282C">
        <w:rPr>
          <w:rFonts w:eastAsia="Arial" w:cs="Arial"/>
          <w:lang w:val="en-US"/>
        </w:rPr>
        <w:t>,</w:t>
      </w:r>
      <w:r w:rsidR="007518D6" w:rsidRPr="0093282C">
        <w:rPr>
          <w:rFonts w:eastAsia="Arial" w:cs="Arial"/>
          <w:lang w:val="en-US"/>
        </w:rPr>
        <w:t xml:space="preserve"> there are no </w:t>
      </w:r>
      <w:r w:rsidR="0093282C" w:rsidRPr="0093282C">
        <w:rPr>
          <w:rFonts w:eastAsia="Arial" w:cs="Arial"/>
          <w:lang w:val="en-US"/>
        </w:rPr>
        <w:t xml:space="preserve">currently no </w:t>
      </w:r>
      <w:r w:rsidR="007518D6" w:rsidRPr="0093282C">
        <w:rPr>
          <w:rFonts w:eastAsia="Arial" w:cs="Arial"/>
          <w:lang w:val="en-US"/>
        </w:rPr>
        <w:t>further div</w:t>
      </w:r>
      <w:r w:rsidR="00B27AA9" w:rsidRPr="0093282C">
        <w:rPr>
          <w:rFonts w:eastAsia="Arial" w:cs="Arial"/>
          <w:lang w:val="en-US"/>
        </w:rPr>
        <w:t xml:space="preserve">idends </w:t>
      </w:r>
      <w:r w:rsidR="0093282C" w:rsidRPr="0093282C">
        <w:rPr>
          <w:rFonts w:eastAsia="Arial" w:cs="Arial"/>
          <w:lang w:val="en-US"/>
        </w:rPr>
        <w:t>forecast by the Company or included within the councils MTF</w:t>
      </w:r>
      <w:r w:rsidR="0043022A">
        <w:rPr>
          <w:rFonts w:eastAsia="Arial" w:cs="Arial"/>
          <w:lang w:val="en-US"/>
        </w:rPr>
        <w:t>S</w:t>
      </w:r>
      <w:r w:rsidR="0093282C" w:rsidRPr="0093282C">
        <w:rPr>
          <w:rFonts w:eastAsia="Arial" w:cs="Arial"/>
          <w:lang w:val="en-US"/>
        </w:rPr>
        <w:t xml:space="preserve">. </w:t>
      </w:r>
      <w:r w:rsidR="00ED1A31">
        <w:rPr>
          <w:rFonts w:eastAsia="Arial" w:cs="Arial"/>
          <w:lang w:val="en-US"/>
        </w:rPr>
        <w:t xml:space="preserve">At </w:t>
      </w:r>
      <w:r w:rsidR="00FB065B">
        <w:rPr>
          <w:rFonts w:eastAsia="Arial" w:cs="Arial"/>
          <w:lang w:val="en-US"/>
        </w:rPr>
        <w:t xml:space="preserve">shareholders in </w:t>
      </w:r>
      <w:r w:rsidR="00BC3BDF">
        <w:rPr>
          <w:rFonts w:eastAsia="Arial" w:cs="Arial"/>
          <w:lang w:val="en-US"/>
        </w:rPr>
        <w:t xml:space="preserve">December </w:t>
      </w:r>
      <w:r w:rsidR="00FB065B">
        <w:rPr>
          <w:rFonts w:eastAsia="Arial" w:cs="Arial"/>
          <w:lang w:val="en-US"/>
        </w:rPr>
        <w:t xml:space="preserve">shareholders were advised </w:t>
      </w:r>
      <w:r w:rsidR="00957C05">
        <w:rPr>
          <w:rFonts w:eastAsia="Arial" w:cs="Arial"/>
          <w:lang w:val="en-US"/>
        </w:rPr>
        <w:t xml:space="preserve">that following changes to </w:t>
      </w:r>
      <w:r w:rsidR="003B358E">
        <w:rPr>
          <w:rFonts w:eastAsia="Arial" w:cs="Arial"/>
          <w:lang w:val="en-US"/>
        </w:rPr>
        <w:t>tenure and the delivery of a number of key schemes such as Redbridge and Sandy Lane</w:t>
      </w:r>
      <w:r w:rsidR="00BC3BDF">
        <w:rPr>
          <w:rFonts w:eastAsia="Arial" w:cs="Arial"/>
          <w:lang w:val="en-US"/>
        </w:rPr>
        <w:t>,</w:t>
      </w:r>
      <w:r w:rsidR="003B358E">
        <w:rPr>
          <w:rFonts w:eastAsia="Arial" w:cs="Arial"/>
          <w:lang w:val="en-US"/>
        </w:rPr>
        <w:t xml:space="preserve"> there would be a sign</w:t>
      </w:r>
      <w:r w:rsidR="006C347F">
        <w:rPr>
          <w:rFonts w:eastAsia="Arial" w:cs="Arial"/>
          <w:lang w:val="en-US"/>
        </w:rPr>
        <w:t>i</w:t>
      </w:r>
      <w:r w:rsidR="00C67620">
        <w:rPr>
          <w:rFonts w:eastAsia="Arial" w:cs="Arial"/>
          <w:lang w:val="en-US"/>
        </w:rPr>
        <w:t>ficant increase in forecast surpluses</w:t>
      </w:r>
      <w:r w:rsidR="00BC3BDF">
        <w:rPr>
          <w:rFonts w:eastAsia="Arial" w:cs="Arial"/>
          <w:lang w:val="en-US"/>
        </w:rPr>
        <w:t>,</w:t>
      </w:r>
      <w:r w:rsidR="00C67620">
        <w:rPr>
          <w:rFonts w:eastAsia="Arial" w:cs="Arial"/>
          <w:lang w:val="en-US"/>
        </w:rPr>
        <w:t xml:space="preserve"> </w:t>
      </w:r>
      <w:r w:rsidR="00CC040A">
        <w:rPr>
          <w:rFonts w:eastAsia="Arial" w:cs="Arial"/>
          <w:lang w:val="en-US"/>
        </w:rPr>
        <w:t xml:space="preserve">although it was too early to include </w:t>
      </w:r>
      <w:r w:rsidR="00241AED">
        <w:rPr>
          <w:rFonts w:eastAsia="Arial" w:cs="Arial"/>
          <w:lang w:val="en-US"/>
        </w:rPr>
        <w:t xml:space="preserve">these surpluses </w:t>
      </w:r>
      <w:r w:rsidR="00CC040A">
        <w:rPr>
          <w:rFonts w:eastAsia="Arial" w:cs="Arial"/>
          <w:lang w:val="en-US"/>
        </w:rPr>
        <w:t>in any dividend recommendatio</w:t>
      </w:r>
      <w:r w:rsidR="00241AED">
        <w:rPr>
          <w:rFonts w:eastAsia="Arial" w:cs="Arial"/>
          <w:lang w:val="en-US"/>
        </w:rPr>
        <w:t xml:space="preserve">n, given the need for these schemes </w:t>
      </w:r>
      <w:r w:rsidR="00241AED">
        <w:rPr>
          <w:rFonts w:eastAsia="Arial" w:cs="Arial"/>
          <w:lang w:val="en-US"/>
        </w:rPr>
        <w:lastRenderedPageBreak/>
        <w:t xml:space="preserve">to </w:t>
      </w:r>
      <w:r w:rsidR="00A11961">
        <w:rPr>
          <w:rFonts w:eastAsia="Arial" w:cs="Arial"/>
          <w:lang w:val="en-US"/>
        </w:rPr>
        <w:t>obtain planning permission</w:t>
      </w:r>
      <w:r w:rsidR="00CC040A">
        <w:rPr>
          <w:rFonts w:eastAsia="Arial" w:cs="Arial"/>
          <w:lang w:val="en-US"/>
        </w:rPr>
        <w:t xml:space="preserve">. </w:t>
      </w:r>
      <w:r w:rsidR="0093282C" w:rsidRPr="0093282C">
        <w:rPr>
          <w:rFonts w:eastAsia="Arial" w:cs="Arial"/>
          <w:lang w:val="en-US"/>
        </w:rPr>
        <w:t xml:space="preserve">The Company are currently considering their </w:t>
      </w:r>
      <w:r w:rsidR="00CC4B97">
        <w:rPr>
          <w:rFonts w:eastAsia="Arial" w:cs="Arial"/>
          <w:lang w:val="en-US"/>
        </w:rPr>
        <w:t xml:space="preserve">business </w:t>
      </w:r>
      <w:r w:rsidR="0093282C" w:rsidRPr="0093282C">
        <w:rPr>
          <w:rFonts w:eastAsia="Arial" w:cs="Arial"/>
          <w:lang w:val="en-US"/>
        </w:rPr>
        <w:t>strategy going forward which will be presented to shareholders in due course.</w:t>
      </w:r>
      <w:r w:rsidR="1873FCE7" w:rsidRPr="0093282C">
        <w:rPr>
          <w:rFonts w:eastAsia="Arial" w:cs="Arial"/>
          <w:lang w:val="en-US"/>
        </w:rPr>
        <w:t xml:space="preserve"> </w:t>
      </w:r>
    </w:p>
    <w:p w14:paraId="6DA6E9BC" w14:textId="77777777" w:rsidR="000C178A" w:rsidRPr="0093282C" w:rsidRDefault="000C178A" w:rsidP="000C178A">
      <w:pPr>
        <w:pStyle w:val="ListParagraph"/>
      </w:pPr>
    </w:p>
    <w:p w14:paraId="37B8A4B2" w14:textId="6DEDC9DE" w:rsidR="00214432" w:rsidRPr="0093282C" w:rsidRDefault="00262853" w:rsidP="00873759">
      <w:pPr>
        <w:pStyle w:val="Default"/>
        <w:ind w:left="567" w:right="386" w:hanging="567"/>
        <w:jc w:val="both"/>
        <w:rPr>
          <w:b/>
        </w:rPr>
      </w:pPr>
      <w:r w:rsidRPr="0093282C">
        <w:rPr>
          <w:b/>
        </w:rPr>
        <w:t>Oxford West End Development (</w:t>
      </w:r>
      <w:r w:rsidR="00214432" w:rsidRPr="0093282C">
        <w:rPr>
          <w:b/>
        </w:rPr>
        <w:t>OXWED</w:t>
      </w:r>
      <w:r w:rsidR="00AC748A" w:rsidRPr="0093282C">
        <w:rPr>
          <w:b/>
        </w:rPr>
        <w:t xml:space="preserve"> LLP</w:t>
      </w:r>
      <w:r w:rsidRPr="0093282C">
        <w:rPr>
          <w:b/>
        </w:rPr>
        <w:t>)</w:t>
      </w:r>
    </w:p>
    <w:p w14:paraId="79AC85B3" w14:textId="70ABBFA3" w:rsidR="3274C890" w:rsidRPr="0093282C" w:rsidRDefault="3274C890" w:rsidP="3274C890">
      <w:pPr>
        <w:pStyle w:val="Default"/>
        <w:ind w:left="720" w:right="386" w:hanging="720"/>
      </w:pPr>
    </w:p>
    <w:p w14:paraId="2B67F433" w14:textId="00A19825" w:rsidR="00F8251E" w:rsidRPr="001F47DF" w:rsidRDefault="00497284" w:rsidP="001F2BCF">
      <w:pPr>
        <w:pStyle w:val="Default"/>
        <w:numPr>
          <w:ilvl w:val="0"/>
          <w:numId w:val="52"/>
        </w:numPr>
        <w:ind w:left="426" w:right="386" w:hanging="426"/>
      </w:pPr>
      <w:r w:rsidRPr="0093282C">
        <w:t>T</w:t>
      </w:r>
      <w:r w:rsidR="00214432" w:rsidRPr="0093282C">
        <w:t>he Council has a 50/50 partnership with Nuffield College to undertake the de</w:t>
      </w:r>
      <w:r w:rsidR="00AC748A" w:rsidRPr="0093282C">
        <w:t>velopment of the land</w:t>
      </w:r>
      <w:r w:rsidR="00AC748A" w:rsidRPr="001F47DF">
        <w:t xml:space="preserve"> at Oxpens for residential and commercial purposes.</w:t>
      </w:r>
      <w:r w:rsidR="00BF0E39" w:rsidRPr="001F47DF">
        <w:t xml:space="preserve"> The 2024-25 accounts for the LLP have recently been approved and </w:t>
      </w:r>
      <w:r w:rsidR="007049D7" w:rsidRPr="001F47DF">
        <w:t xml:space="preserve">indicate a loss for the organization of £2.6m for the year. </w:t>
      </w:r>
      <w:r w:rsidR="00214432" w:rsidRPr="001F47DF">
        <w:t xml:space="preserve">  </w:t>
      </w:r>
    </w:p>
    <w:p w14:paraId="4E10128E" w14:textId="77777777" w:rsidR="00F8251E" w:rsidRPr="001F47DF" w:rsidRDefault="00F8251E" w:rsidP="00873759">
      <w:pPr>
        <w:pStyle w:val="Default"/>
        <w:ind w:left="709" w:right="386" w:hanging="709"/>
      </w:pPr>
    </w:p>
    <w:p w14:paraId="59A4BD1B" w14:textId="64EDEC54" w:rsidR="00214432" w:rsidRPr="00DD681A" w:rsidRDefault="00214432" w:rsidP="001F2BCF">
      <w:pPr>
        <w:pStyle w:val="Default"/>
        <w:numPr>
          <w:ilvl w:val="0"/>
          <w:numId w:val="52"/>
        </w:numPr>
        <w:ind w:left="426" w:right="386" w:hanging="426"/>
      </w:pPr>
      <w:r w:rsidRPr="00DD681A">
        <w:t xml:space="preserve">The </w:t>
      </w:r>
      <w:r w:rsidR="00064FD2" w:rsidRPr="00DD681A">
        <w:t xml:space="preserve">Council has invested money on a 50/50 basis </w:t>
      </w:r>
      <w:r w:rsidR="00D63A7E" w:rsidRPr="00DD681A">
        <w:t xml:space="preserve">with its partner </w:t>
      </w:r>
      <w:r w:rsidR="004C7821" w:rsidRPr="00DD681A">
        <w:t>Nuffield</w:t>
      </w:r>
      <w:r w:rsidR="00D63A7E" w:rsidRPr="00DD681A">
        <w:t xml:space="preserve"> College at a loan investment rate of </w:t>
      </w:r>
      <w:r w:rsidR="0043675C" w:rsidRPr="00DD681A">
        <w:t>4% above base rates</w:t>
      </w:r>
      <w:r w:rsidR="00D63A7E" w:rsidRPr="00DD681A">
        <w:t xml:space="preserve"> </w:t>
      </w:r>
      <w:r w:rsidR="00064FD2" w:rsidRPr="00DD681A">
        <w:t xml:space="preserve">with </w:t>
      </w:r>
      <w:r w:rsidR="00D63A7E" w:rsidRPr="00DD681A">
        <w:t>loans outstanding</w:t>
      </w:r>
      <w:r w:rsidR="001F47DF" w:rsidRPr="00DD681A">
        <w:t xml:space="preserve"> and accrued interest </w:t>
      </w:r>
      <w:r w:rsidR="00D63A7E" w:rsidRPr="00DD681A">
        <w:t xml:space="preserve">at </w:t>
      </w:r>
      <w:r w:rsidR="00064FD2" w:rsidRPr="00DD681A">
        <w:t>31-</w:t>
      </w:r>
      <w:r w:rsidR="0043675C" w:rsidRPr="00DD681A">
        <w:t>3</w:t>
      </w:r>
      <w:r w:rsidR="00064FD2" w:rsidRPr="00DD681A">
        <w:t>-202</w:t>
      </w:r>
      <w:r w:rsidR="0043675C" w:rsidRPr="00DD681A">
        <w:t>5</w:t>
      </w:r>
      <w:r w:rsidR="00064FD2" w:rsidRPr="00DD681A">
        <w:t xml:space="preserve"> </w:t>
      </w:r>
      <w:r w:rsidR="00D63A7E" w:rsidRPr="00DD681A">
        <w:t>of</w:t>
      </w:r>
      <w:r w:rsidR="00064FD2" w:rsidRPr="00DD681A">
        <w:t xml:space="preserve"> </w:t>
      </w:r>
      <w:r w:rsidR="001F47DF" w:rsidRPr="00DD681A">
        <w:t>circa £21 million</w:t>
      </w:r>
      <w:r w:rsidR="004C7821" w:rsidRPr="00DD681A">
        <w:t>.</w:t>
      </w:r>
      <w:r w:rsidR="001F7BEE" w:rsidRPr="00DD681A">
        <w:t xml:space="preserve"> </w:t>
      </w:r>
    </w:p>
    <w:p w14:paraId="1FF7A7C0" w14:textId="77777777" w:rsidR="00214432" w:rsidRPr="00DD681A" w:rsidRDefault="00214432" w:rsidP="00F15D28">
      <w:pPr>
        <w:pStyle w:val="Default"/>
        <w:ind w:left="709" w:right="386" w:hanging="1070"/>
      </w:pPr>
    </w:p>
    <w:p w14:paraId="46E97C2E" w14:textId="59936ADB" w:rsidR="00F9078A" w:rsidRPr="00CB3630" w:rsidRDefault="00F9078A" w:rsidP="001F2BCF">
      <w:pPr>
        <w:pStyle w:val="ListParagraph"/>
        <w:numPr>
          <w:ilvl w:val="0"/>
          <w:numId w:val="52"/>
        </w:numPr>
        <w:tabs>
          <w:tab w:val="left" w:pos="1276"/>
        </w:tabs>
        <w:ind w:left="426" w:right="386" w:hanging="426"/>
        <w:jc w:val="both"/>
        <w:rPr>
          <w:rFonts w:eastAsia="Arial Nova" w:cs="Arial"/>
        </w:rPr>
      </w:pPr>
      <w:r w:rsidRPr="00DD681A">
        <w:rPr>
          <w:rFonts w:eastAsia="Arial Nova" w:cs="Arial"/>
        </w:rPr>
        <w:t xml:space="preserve">In </w:t>
      </w:r>
      <w:r w:rsidR="00071B43">
        <w:rPr>
          <w:rFonts w:eastAsia="Arial Nova" w:cs="Arial"/>
        </w:rPr>
        <w:t xml:space="preserve">October </w:t>
      </w:r>
      <w:r w:rsidR="00740AD6" w:rsidRPr="00DD681A">
        <w:rPr>
          <w:rFonts w:eastAsia="Arial Nova" w:cs="Arial"/>
        </w:rPr>
        <w:t>2025</w:t>
      </w:r>
      <w:r w:rsidRPr="00DD681A">
        <w:rPr>
          <w:rFonts w:eastAsia="Arial Nova" w:cs="Arial"/>
        </w:rPr>
        <w:t xml:space="preserve"> </w:t>
      </w:r>
      <w:r w:rsidR="00CA4D8A">
        <w:rPr>
          <w:rFonts w:eastAsia="Arial Nova" w:cs="Arial"/>
        </w:rPr>
        <w:t xml:space="preserve">the scheme received planning </w:t>
      </w:r>
      <w:r w:rsidR="001F072E">
        <w:rPr>
          <w:rFonts w:eastAsia="Arial Nova" w:cs="Arial"/>
        </w:rPr>
        <w:t>permission,</w:t>
      </w:r>
      <w:r w:rsidR="00CA4D8A">
        <w:rPr>
          <w:rFonts w:eastAsia="Arial Nova" w:cs="Arial"/>
        </w:rPr>
        <w:t xml:space="preserve"> </w:t>
      </w:r>
      <w:r w:rsidR="00343FD7">
        <w:rPr>
          <w:rFonts w:eastAsia="Arial Nova" w:cs="Arial"/>
        </w:rPr>
        <w:t>and an update will be</w:t>
      </w:r>
      <w:r w:rsidR="00CA4D8A">
        <w:rPr>
          <w:rFonts w:eastAsia="Arial Nova" w:cs="Arial"/>
        </w:rPr>
        <w:t xml:space="preserve"> presented </w:t>
      </w:r>
      <w:r w:rsidR="005A198C">
        <w:rPr>
          <w:rFonts w:eastAsia="Arial Nova" w:cs="Arial"/>
        </w:rPr>
        <w:t>to shareholders in December</w:t>
      </w:r>
      <w:r w:rsidR="007315F1" w:rsidRPr="00CB3630">
        <w:rPr>
          <w:rFonts w:eastAsia="Arial Nova" w:cs="Arial"/>
        </w:rPr>
        <w:t xml:space="preserve">. </w:t>
      </w:r>
      <w:r w:rsidR="7B1D781E" w:rsidRPr="00CB3630">
        <w:rPr>
          <w:rFonts w:eastAsia="Arial Nova" w:cs="Arial"/>
        </w:rPr>
        <w:t xml:space="preserve"> </w:t>
      </w:r>
      <w:r w:rsidR="5D355939" w:rsidRPr="00CB3630">
        <w:rPr>
          <w:rFonts w:eastAsia="Arial Nova" w:cs="Arial"/>
        </w:rPr>
        <w:t xml:space="preserve"> </w:t>
      </w:r>
    </w:p>
    <w:p w14:paraId="74CA2FA1" w14:textId="4029D2F7" w:rsidR="3274C890" w:rsidRPr="00CB3630" w:rsidRDefault="3274C890" w:rsidP="3274C890">
      <w:pPr>
        <w:pStyle w:val="ListParagraph"/>
        <w:tabs>
          <w:tab w:val="left" w:pos="1276"/>
        </w:tabs>
        <w:ind w:left="360" w:right="386" w:hanging="720"/>
        <w:jc w:val="both"/>
        <w:rPr>
          <w:rFonts w:ascii="Times New Roman" w:hAnsi="Times New Roman"/>
        </w:rPr>
      </w:pPr>
    </w:p>
    <w:p w14:paraId="701AEBA0" w14:textId="13249BCA" w:rsidR="00A84E2A" w:rsidRPr="00DD681A" w:rsidRDefault="00F9020B" w:rsidP="001F2BCF">
      <w:pPr>
        <w:pStyle w:val="ListParagraph"/>
        <w:numPr>
          <w:ilvl w:val="0"/>
          <w:numId w:val="52"/>
        </w:numPr>
        <w:ind w:left="426" w:right="386" w:hanging="426"/>
        <w:jc w:val="both"/>
        <w:rPr>
          <w:rFonts w:cs="Arial"/>
          <w:b/>
        </w:rPr>
      </w:pPr>
      <w:r w:rsidRPr="00CB3630">
        <w:rPr>
          <w:rFonts w:cs="Arial"/>
        </w:rPr>
        <w:t xml:space="preserve">The overall </w:t>
      </w:r>
      <w:r w:rsidR="00C71EBA" w:rsidRPr="00CB3630">
        <w:rPr>
          <w:rFonts w:cs="Arial"/>
        </w:rPr>
        <w:t xml:space="preserve">aim of the </w:t>
      </w:r>
      <w:r w:rsidRPr="00CB3630">
        <w:rPr>
          <w:rFonts w:cs="Arial"/>
        </w:rPr>
        <w:t xml:space="preserve">development </w:t>
      </w:r>
      <w:r w:rsidR="00C71EBA" w:rsidRPr="00CB3630">
        <w:rPr>
          <w:rFonts w:cs="Arial"/>
        </w:rPr>
        <w:t xml:space="preserve">was that there would be </w:t>
      </w:r>
      <w:r w:rsidRPr="00CB3630">
        <w:rPr>
          <w:rFonts w:cs="Arial"/>
        </w:rPr>
        <w:t>significant gross value added</w:t>
      </w:r>
      <w:r w:rsidRPr="00DD681A">
        <w:rPr>
          <w:rFonts w:cs="Arial"/>
        </w:rPr>
        <w:t>, addit</w:t>
      </w:r>
      <w:r w:rsidR="00064FD2" w:rsidRPr="00DD681A">
        <w:rPr>
          <w:rFonts w:cs="Arial"/>
        </w:rPr>
        <w:t>io</w:t>
      </w:r>
      <w:r w:rsidRPr="00DD681A">
        <w:rPr>
          <w:rFonts w:cs="Arial"/>
        </w:rPr>
        <w:t xml:space="preserve">nal council tax, business rates and </w:t>
      </w:r>
      <w:r w:rsidR="00064FD2" w:rsidRPr="00DD681A">
        <w:rPr>
          <w:rFonts w:cs="Arial"/>
        </w:rPr>
        <w:t>dividend</w:t>
      </w:r>
      <w:r w:rsidRPr="00DD681A">
        <w:rPr>
          <w:rFonts w:cs="Arial"/>
        </w:rPr>
        <w:t xml:space="preserve"> return from the LLP. </w:t>
      </w:r>
      <w:r w:rsidR="001F072E" w:rsidRPr="00DD681A">
        <w:rPr>
          <w:rFonts w:cs="Arial"/>
        </w:rPr>
        <w:t>However,</w:t>
      </w:r>
      <w:r w:rsidR="000A5090" w:rsidRPr="00DD681A">
        <w:rPr>
          <w:rFonts w:cs="Arial"/>
        </w:rPr>
        <w:t xml:space="preserve"> shareholders were advised that the market for this type of development had changed </w:t>
      </w:r>
      <w:r w:rsidR="007B7A9D" w:rsidRPr="00DD681A">
        <w:rPr>
          <w:rFonts w:cs="Arial"/>
        </w:rPr>
        <w:t>and the scheme would require a different delivery strategy</w:t>
      </w:r>
      <w:r w:rsidR="006B1D81" w:rsidRPr="00DD681A">
        <w:rPr>
          <w:rFonts w:cs="Arial"/>
        </w:rPr>
        <w:t xml:space="preserve">. </w:t>
      </w:r>
      <w:r w:rsidR="008B0A17" w:rsidRPr="00DD681A">
        <w:rPr>
          <w:rFonts w:cs="Arial"/>
        </w:rPr>
        <w:t xml:space="preserve">This strategy was being worked up and would be the subject of a report to </w:t>
      </w:r>
      <w:r w:rsidR="00470D39" w:rsidRPr="00DD681A">
        <w:rPr>
          <w:rFonts w:cs="Arial"/>
        </w:rPr>
        <w:t xml:space="preserve">the next meeting of shareholders. </w:t>
      </w:r>
      <w:r w:rsidR="00944E81">
        <w:rPr>
          <w:rFonts w:cs="Arial"/>
        </w:rPr>
        <w:t xml:space="preserve">It is unlikely that this </w:t>
      </w:r>
      <w:r w:rsidR="00624BEF">
        <w:rPr>
          <w:rFonts w:cs="Arial"/>
        </w:rPr>
        <w:t xml:space="preserve">strategy would lead to any financial return to the </w:t>
      </w:r>
      <w:r w:rsidR="00267F67">
        <w:rPr>
          <w:rFonts w:cs="Arial"/>
        </w:rPr>
        <w:t>Council over the next 4 year MTF</w:t>
      </w:r>
      <w:r w:rsidR="0043022A">
        <w:rPr>
          <w:rFonts w:cs="Arial"/>
        </w:rPr>
        <w:t>S</w:t>
      </w:r>
      <w:r w:rsidR="00267F67">
        <w:rPr>
          <w:rFonts w:cs="Arial"/>
        </w:rPr>
        <w:t>.</w:t>
      </w:r>
    </w:p>
    <w:p w14:paraId="2D82AC95" w14:textId="77777777" w:rsidR="00447C29" w:rsidRPr="00572DC5" w:rsidRDefault="00447C29" w:rsidP="000D4B92">
      <w:pPr>
        <w:ind w:left="567" w:right="386" w:hanging="567"/>
        <w:rPr>
          <w:sz w:val="22"/>
          <w:szCs w:val="22"/>
          <w:highlight w:val="yellow"/>
        </w:rPr>
      </w:pPr>
    </w:p>
    <w:p w14:paraId="380E62D6" w14:textId="77777777" w:rsidR="00CB1092" w:rsidRPr="00572DC5" w:rsidRDefault="00CB1092" w:rsidP="12B5E433">
      <w:pPr>
        <w:autoSpaceDE w:val="0"/>
        <w:autoSpaceDN w:val="0"/>
        <w:adjustRightInd w:val="0"/>
        <w:ind w:right="380"/>
        <w:jc w:val="both"/>
        <w:rPr>
          <w:rFonts w:cs="Arial"/>
          <w:b/>
          <w:sz w:val="28"/>
          <w:szCs w:val="28"/>
        </w:rPr>
      </w:pPr>
      <w:r w:rsidRPr="6C346B29">
        <w:rPr>
          <w:rFonts w:cs="Arial"/>
          <w:b/>
          <w:sz w:val="28"/>
          <w:szCs w:val="28"/>
        </w:rPr>
        <w:t>Section C Housing Revenue Account Budget</w:t>
      </w:r>
    </w:p>
    <w:p w14:paraId="1AF27A58" w14:textId="77777777" w:rsidR="00CB1092" w:rsidRPr="00572DC5" w:rsidRDefault="00CB1092" w:rsidP="000D4B92">
      <w:pPr>
        <w:autoSpaceDE w:val="0"/>
        <w:autoSpaceDN w:val="0"/>
        <w:adjustRightInd w:val="0"/>
        <w:ind w:right="380"/>
        <w:rPr>
          <w:rFonts w:cs="Arial"/>
        </w:rPr>
      </w:pPr>
    </w:p>
    <w:p w14:paraId="634C4A33" w14:textId="77777777" w:rsidR="00CB1092" w:rsidRPr="00572DC5" w:rsidRDefault="00CB1092" w:rsidP="000D4B92">
      <w:pPr>
        <w:autoSpaceDE w:val="0"/>
        <w:autoSpaceDN w:val="0"/>
        <w:adjustRightInd w:val="0"/>
        <w:ind w:right="380"/>
        <w:jc w:val="both"/>
        <w:rPr>
          <w:rFonts w:cs="Arial"/>
          <w:b/>
        </w:rPr>
      </w:pPr>
      <w:r w:rsidRPr="6C346B29">
        <w:rPr>
          <w:rFonts w:cs="Arial"/>
          <w:b/>
        </w:rPr>
        <w:t>Background</w:t>
      </w:r>
    </w:p>
    <w:p w14:paraId="00C76444" w14:textId="081CD900" w:rsidR="001567C0" w:rsidRPr="00572DC5" w:rsidRDefault="001567C0" w:rsidP="000D4B92">
      <w:pPr>
        <w:autoSpaceDE w:val="0"/>
        <w:autoSpaceDN w:val="0"/>
        <w:adjustRightInd w:val="0"/>
        <w:ind w:right="380"/>
        <w:jc w:val="both"/>
        <w:rPr>
          <w:rFonts w:cs="Arial"/>
          <w:b/>
        </w:rPr>
      </w:pPr>
    </w:p>
    <w:p w14:paraId="3EAF8B1D" w14:textId="3C1A8277" w:rsidR="00A1032D" w:rsidRPr="00572DC5" w:rsidRDefault="00756488" w:rsidP="001F2BCF">
      <w:pPr>
        <w:pStyle w:val="Heading1"/>
        <w:numPr>
          <w:ilvl w:val="0"/>
          <w:numId w:val="52"/>
        </w:numPr>
        <w:ind w:left="426" w:hanging="426"/>
        <w:rPr>
          <w:b w:val="0"/>
          <w:bCs w:val="0"/>
          <w:shd w:val="clear" w:color="auto" w:fill="FFFFFF"/>
        </w:rPr>
      </w:pPr>
      <w:r w:rsidRPr="6C346B29">
        <w:rPr>
          <w:rFonts w:cs="Arial"/>
          <w:b w:val="0"/>
          <w:bCs w:val="0"/>
          <w:color w:val="242424"/>
          <w:shd w:val="clear" w:color="auto" w:fill="FFFFFF"/>
        </w:rPr>
        <w:t xml:space="preserve">The Council continues to operate an ambitious programme of investment both in the maintenance and refurbishment of its existing stock of </w:t>
      </w:r>
      <w:r w:rsidR="4A3ABC03" w:rsidRPr="6C346B29">
        <w:rPr>
          <w:rFonts w:cs="Arial"/>
          <w:b w:val="0"/>
          <w:bCs w:val="0"/>
          <w:color w:val="242424"/>
          <w:shd w:val="clear" w:color="auto" w:fill="FFFFFF"/>
        </w:rPr>
        <w:t>8,077</w:t>
      </w:r>
      <w:r w:rsidRPr="6C346B29">
        <w:rPr>
          <w:rFonts w:cs="Arial"/>
          <w:b w:val="0"/>
          <w:bCs w:val="0"/>
          <w:color w:val="242424"/>
          <w:shd w:val="clear" w:color="auto" w:fill="FFFFFF"/>
        </w:rPr>
        <w:t xml:space="preserve"> council dwellings, regeneration of its council estates and investment in new social housing dwellings constructed by the Council’s wholly owned company Oxford City Housing Limited (OCHL). </w:t>
      </w:r>
      <w:r w:rsidR="3F6825B5" w:rsidRPr="7D557E7D">
        <w:rPr>
          <w:rFonts w:cs="Arial"/>
          <w:b w:val="0"/>
          <w:bCs w:val="0"/>
          <w:color w:val="242424"/>
        </w:rPr>
        <w:t>The current HRA Capital programme includes £165 million being spent on the purchase of 448 new build affordable homes from OCHL. The overall commitment to OCHL is for the purchase of 806 dwellings will be completed over the MTFP (running to March 2030), of which 424 will have been completed by 31st March 2026.</w:t>
      </w:r>
    </w:p>
    <w:p w14:paraId="04C0E235" w14:textId="21978583" w:rsidR="00A1032D" w:rsidRPr="00572DC5" w:rsidRDefault="00A1032D" w:rsidP="7D557E7D"/>
    <w:p w14:paraId="3372549D" w14:textId="4BF7FD46" w:rsidR="00A1032D" w:rsidRPr="00572DC5" w:rsidRDefault="3F6825B5" w:rsidP="001F2BCF">
      <w:pPr>
        <w:pStyle w:val="Heading1"/>
        <w:numPr>
          <w:ilvl w:val="0"/>
          <w:numId w:val="52"/>
        </w:numPr>
        <w:ind w:left="426" w:hanging="426"/>
        <w:rPr>
          <w:b w:val="0"/>
          <w:bCs w:val="0"/>
          <w:shd w:val="clear" w:color="auto" w:fill="FFFFFF"/>
        </w:rPr>
      </w:pPr>
      <w:r>
        <w:rPr>
          <w:b w:val="0"/>
          <w:bCs w:val="0"/>
        </w:rPr>
        <w:t>In addition to the OCHL new build developments, the HRA is directly commissioning 847 affordable homes with an overall budget of £286 million. 107</w:t>
      </w:r>
      <w:r w:rsidR="00C66A61">
        <w:rPr>
          <w:b w:val="0"/>
          <w:bCs w:val="0"/>
        </w:rPr>
        <w:t xml:space="preserve"> </w:t>
      </w:r>
      <w:r>
        <w:rPr>
          <w:b w:val="0"/>
          <w:bCs w:val="0"/>
        </w:rPr>
        <w:t>of these homes are forecast be completed by 31st March 2026.</w:t>
      </w:r>
    </w:p>
    <w:p w14:paraId="7147C71C" w14:textId="036AEAE6" w:rsidR="00A1032D" w:rsidRPr="00572DC5" w:rsidRDefault="00A1032D" w:rsidP="656AF43D"/>
    <w:p w14:paraId="3F2DCAAF" w14:textId="6BE22004" w:rsidR="00C108B6" w:rsidRPr="00572DC5" w:rsidRDefault="66CF1F96" w:rsidP="001F2BCF">
      <w:pPr>
        <w:pStyle w:val="Heading1"/>
        <w:numPr>
          <w:ilvl w:val="0"/>
          <w:numId w:val="52"/>
        </w:numPr>
        <w:ind w:left="426" w:hanging="426"/>
        <w:rPr>
          <w:b w:val="0"/>
          <w:shd w:val="clear" w:color="auto" w:fill="FFFFFF"/>
        </w:rPr>
      </w:pPr>
      <w:r>
        <w:rPr>
          <w:b w:val="0"/>
        </w:rPr>
        <w:t>There will also be 117 acquisitions in the same period. This includes the RRTBR programme, delivery through grant funded acquisition programmes and the additional acquisitions programme approved by Cabinet in April 2024. Further to this there is a strong pipeline of potential incoming schemes.</w:t>
      </w:r>
    </w:p>
    <w:p w14:paraId="110F07A2" w14:textId="4DBB26D8" w:rsidR="007E525E" w:rsidRPr="00572DC5" w:rsidRDefault="00A1032D" w:rsidP="7D557E7D">
      <w:pPr>
        <w:pStyle w:val="Heading1"/>
        <w:rPr>
          <w:highlight w:val="yellow"/>
        </w:rPr>
      </w:pPr>
      <w:r>
        <w:t xml:space="preserve"> </w:t>
      </w:r>
    </w:p>
    <w:p w14:paraId="41A49288" w14:textId="547F74CE" w:rsidR="00B0098D" w:rsidRPr="00572DC5" w:rsidRDefault="00B0098D" w:rsidP="001F2BCF">
      <w:pPr>
        <w:pStyle w:val="ListParagraph"/>
        <w:numPr>
          <w:ilvl w:val="0"/>
          <w:numId w:val="52"/>
        </w:numPr>
        <w:ind w:left="426" w:hanging="426"/>
      </w:pPr>
      <w:r>
        <w:t xml:space="preserve">In managing </w:t>
      </w:r>
      <w:r w:rsidR="00092035">
        <w:t xml:space="preserve">the </w:t>
      </w:r>
      <w:r>
        <w:t xml:space="preserve">future risks that will inevitably start to rise as more debt is taken on to facilitate new build housing and regeneration the </w:t>
      </w:r>
      <w:r w:rsidR="00A83DCC">
        <w:t xml:space="preserve">Head of Financial Services as well as paying attention to net income makes use of </w:t>
      </w:r>
      <w:r>
        <w:t>Prudential indicators to manage these risks</w:t>
      </w:r>
      <w:r w:rsidR="00A83DCC">
        <w:t xml:space="preserve">. </w:t>
      </w:r>
      <w:r>
        <w:t xml:space="preserve">Prudential indicators are used in the Treasury Management Strategy and are a </w:t>
      </w:r>
      <w:r>
        <w:lastRenderedPageBreak/>
        <w:t>matter of judgement by the Section 151 Officers but those typically used by banks and building societies to assist management would be:</w:t>
      </w:r>
    </w:p>
    <w:p w14:paraId="619655E1" w14:textId="77777777" w:rsidR="00B0098D" w:rsidRPr="00572DC5" w:rsidRDefault="00B0098D" w:rsidP="00E801E2">
      <w:pPr>
        <w:ind w:left="426" w:hanging="426"/>
      </w:pPr>
    </w:p>
    <w:p w14:paraId="5F6976D9" w14:textId="56778069" w:rsidR="00B0098D" w:rsidRPr="00572DC5" w:rsidRDefault="00B0098D" w:rsidP="00712800">
      <w:pPr>
        <w:pStyle w:val="ListParagraph"/>
        <w:numPr>
          <w:ilvl w:val="0"/>
          <w:numId w:val="20"/>
        </w:numPr>
        <w:tabs>
          <w:tab w:val="left" w:pos="284"/>
        </w:tabs>
        <w:ind w:left="1418" w:hanging="284"/>
      </w:pPr>
      <w:r>
        <w:t xml:space="preserve">Interest cover ratio – ratio of </w:t>
      </w:r>
      <w:r w:rsidR="007444C0">
        <w:t>operating</w:t>
      </w:r>
      <w:r>
        <w:t xml:space="preserve"> surplus divided by interest cost i.e</w:t>
      </w:r>
      <w:r w:rsidR="007444C0">
        <w:t xml:space="preserve">. </w:t>
      </w:r>
      <w:r>
        <w:t xml:space="preserve">how many times interest can be paid from </w:t>
      </w:r>
      <w:r w:rsidR="00097FD6">
        <w:t>surpluses.</w:t>
      </w:r>
    </w:p>
    <w:p w14:paraId="29D2B177" w14:textId="5C8DBEC5" w:rsidR="00B0098D" w:rsidRPr="00572DC5" w:rsidRDefault="7AFDDB8A" w:rsidP="00712800">
      <w:pPr>
        <w:pStyle w:val="ListParagraph"/>
        <w:numPr>
          <w:ilvl w:val="0"/>
          <w:numId w:val="20"/>
        </w:numPr>
        <w:ind w:left="426" w:firstLine="708"/>
      </w:pPr>
      <w:r>
        <w:t xml:space="preserve">Loan to value ratio- outstanding debt/ fixed asset value at year </w:t>
      </w:r>
      <w:r w:rsidR="52E3B210">
        <w:t>end.</w:t>
      </w:r>
    </w:p>
    <w:p w14:paraId="07505AD9" w14:textId="179FCF9F" w:rsidR="00B0098D" w:rsidRPr="00572DC5" w:rsidRDefault="00B0098D" w:rsidP="00712800">
      <w:pPr>
        <w:pStyle w:val="ListParagraph"/>
        <w:numPr>
          <w:ilvl w:val="0"/>
          <w:numId w:val="20"/>
        </w:numPr>
        <w:ind w:left="426" w:firstLine="708"/>
      </w:pPr>
      <w:r>
        <w:t>Debt to income ratio – Turnover / debt</w:t>
      </w:r>
    </w:p>
    <w:p w14:paraId="30B9F433" w14:textId="77777777" w:rsidR="00B0098D" w:rsidRPr="00572DC5" w:rsidRDefault="00B0098D" w:rsidP="00F15D28">
      <w:pPr>
        <w:ind w:left="709"/>
      </w:pPr>
    </w:p>
    <w:p w14:paraId="68DA194C" w14:textId="6109CDBA" w:rsidR="00303D05" w:rsidRPr="00572DC5" w:rsidRDefault="00B0098D" w:rsidP="001F2BCF">
      <w:pPr>
        <w:pStyle w:val="ListParagraph"/>
        <w:numPr>
          <w:ilvl w:val="0"/>
          <w:numId w:val="52"/>
        </w:numPr>
        <w:ind w:left="450" w:hanging="450"/>
      </w:pPr>
      <w:r>
        <w:t xml:space="preserve">The most widely used ratio is </w:t>
      </w:r>
      <w:r w:rsidR="007444C0">
        <w:t>interest</w:t>
      </w:r>
      <w:r>
        <w:t xml:space="preserve"> cover </w:t>
      </w:r>
      <w:r w:rsidR="371C3A11">
        <w:t xml:space="preserve">and used by the Council </w:t>
      </w:r>
      <w:r w:rsidR="003E060B">
        <w:t xml:space="preserve">which measures how many times surpluses cover the interest charge </w:t>
      </w:r>
      <w:r>
        <w:t xml:space="preserve">and </w:t>
      </w:r>
      <w:r w:rsidR="007444C0">
        <w:t>typically</w:t>
      </w:r>
      <w:r>
        <w:t xml:space="preserve"> Registered Providers would operate on a </w:t>
      </w:r>
      <w:r w:rsidR="007E7FA6">
        <w:t>ratio</w:t>
      </w:r>
      <w:r>
        <w:t xml:space="preserve"> of 1.72:1 and 2.1:1. As a golden rule 1.25:1 would be acceptable especially given the </w:t>
      </w:r>
      <w:r w:rsidR="000D4B92">
        <w:t xml:space="preserve">significant housing development being undertaken by the Council. </w:t>
      </w:r>
    </w:p>
    <w:p w14:paraId="12097179" w14:textId="77777777" w:rsidR="00303D05" w:rsidRPr="00572DC5" w:rsidRDefault="00303D05" w:rsidP="00F15D28">
      <w:pPr>
        <w:ind w:left="709"/>
      </w:pPr>
    </w:p>
    <w:p w14:paraId="0F52E1E9" w14:textId="75CBF36E" w:rsidR="00B0098D" w:rsidRPr="00572DC5" w:rsidRDefault="68010FC8" w:rsidP="001F2BCF">
      <w:pPr>
        <w:pStyle w:val="ListParagraph"/>
        <w:numPr>
          <w:ilvl w:val="0"/>
          <w:numId w:val="52"/>
        </w:numPr>
        <w:ind w:left="426" w:hanging="426"/>
      </w:pPr>
      <w:r>
        <w:t xml:space="preserve">Due to </w:t>
      </w:r>
      <w:r w:rsidR="00303D05">
        <w:t xml:space="preserve">the </w:t>
      </w:r>
      <w:r w:rsidR="0019BD3F">
        <w:t>increased</w:t>
      </w:r>
      <w:r>
        <w:t xml:space="preserve"> demands placed on the </w:t>
      </w:r>
      <w:r w:rsidR="00303D05">
        <w:t xml:space="preserve">HRA </w:t>
      </w:r>
      <w:r>
        <w:t>through the new compliance reg</w:t>
      </w:r>
      <w:r w:rsidR="00CBC0FA">
        <w:t>ulations</w:t>
      </w:r>
      <w:r>
        <w:t xml:space="preserve"> </w:t>
      </w:r>
      <w:r w:rsidR="1310B725">
        <w:t>(</w:t>
      </w:r>
      <w:r>
        <w:t xml:space="preserve">as </w:t>
      </w:r>
      <w:r w:rsidR="74A4A6C0">
        <w:t>introduced</w:t>
      </w:r>
      <w:r>
        <w:t xml:space="preserve"> by the</w:t>
      </w:r>
      <w:r w:rsidR="083F04F8">
        <w:t xml:space="preserve"> Regulator for Social Housing</w:t>
      </w:r>
      <w:r w:rsidR="10385248">
        <w:t>)</w:t>
      </w:r>
      <w:r w:rsidR="00303D05">
        <w:t xml:space="preserve"> </w:t>
      </w:r>
      <w:r w:rsidR="000D4B92">
        <w:t xml:space="preserve">the Section 151 Officer has agreed a trajectory of interest cover ratio </w:t>
      </w:r>
      <w:r w:rsidR="73937615">
        <w:t>of</w:t>
      </w:r>
      <w:r w:rsidR="00DD2FE0">
        <w:t xml:space="preserve"> </w:t>
      </w:r>
      <w:r w:rsidR="000D4B92">
        <w:t>1.</w:t>
      </w:r>
      <w:r w:rsidR="5B38DDE7">
        <w:t xml:space="preserve">10 </w:t>
      </w:r>
      <w:r w:rsidR="000D4B92">
        <w:t xml:space="preserve">: 1 over </w:t>
      </w:r>
      <w:r w:rsidR="00DD2FE0">
        <w:t>the f</w:t>
      </w:r>
      <w:r w:rsidR="000D4B92">
        <w:t xml:space="preserve">irst 4 years of the Business Plan and thereafter budgeted spend is approved </w:t>
      </w:r>
      <w:r w:rsidR="00303D05">
        <w:t xml:space="preserve">which seeks to ensure that this </w:t>
      </w:r>
      <w:r w:rsidR="000D4B92">
        <w:t xml:space="preserve">ratio </w:t>
      </w:r>
      <w:r w:rsidR="00303D05">
        <w:t xml:space="preserve">is maintained at a level of at </w:t>
      </w:r>
      <w:r w:rsidR="000D4B92">
        <w:t xml:space="preserve">least 1.25:1. </w:t>
      </w:r>
    </w:p>
    <w:p w14:paraId="79B16EE6" w14:textId="77777777" w:rsidR="000D4B92" w:rsidRPr="00572DC5" w:rsidRDefault="000D4B92" w:rsidP="00F15D28">
      <w:pPr>
        <w:ind w:left="709"/>
      </w:pPr>
    </w:p>
    <w:p w14:paraId="26F863CB" w14:textId="297C429B" w:rsidR="000D4B92" w:rsidRPr="00572DC5" w:rsidRDefault="00303D05" w:rsidP="001F2BCF">
      <w:pPr>
        <w:pStyle w:val="ListParagraph"/>
        <w:numPr>
          <w:ilvl w:val="0"/>
          <w:numId w:val="52"/>
        </w:numPr>
        <w:ind w:left="426" w:hanging="426"/>
      </w:pPr>
      <w:r>
        <w:t xml:space="preserve">The chart below shows this ratio </w:t>
      </w:r>
      <w:r w:rsidR="00CA0468">
        <w:t>graphically.</w:t>
      </w:r>
      <w:r>
        <w:t xml:space="preserve"> </w:t>
      </w:r>
    </w:p>
    <w:p w14:paraId="5323EE9D" w14:textId="77777777" w:rsidR="001F072E" w:rsidRPr="00572DC5" w:rsidRDefault="001F072E" w:rsidP="00A83DCC">
      <w:pPr>
        <w:ind w:left="709" w:hanging="709"/>
        <w:rPr>
          <w:rFonts w:eastAsia="Calibri" w:cs="Arial"/>
          <w:b/>
        </w:rPr>
      </w:pPr>
    </w:p>
    <w:p w14:paraId="0D49461F" w14:textId="4930A533" w:rsidR="00A83DCC" w:rsidRPr="00572DC5" w:rsidRDefault="00CA7F4B" w:rsidP="00A83DCC">
      <w:pPr>
        <w:ind w:left="709" w:hanging="709"/>
        <w:rPr>
          <w:rFonts w:eastAsia="Calibri" w:cs="Arial"/>
          <w:b/>
        </w:rPr>
      </w:pPr>
      <w:r>
        <w:rPr>
          <w:rFonts w:eastAsia="Calibri" w:cs="Arial"/>
          <w:b/>
        </w:rPr>
        <w:t xml:space="preserve">Picture 4 </w:t>
      </w:r>
      <w:r w:rsidR="00A83DCC" w:rsidRPr="3050D374">
        <w:rPr>
          <w:rFonts w:eastAsia="Calibri" w:cs="Arial"/>
          <w:b/>
        </w:rPr>
        <w:t>: Impact on Interest Cover Ratio</w:t>
      </w:r>
    </w:p>
    <w:p w14:paraId="7ACE6376" w14:textId="7B9481E4" w:rsidR="004843EE" w:rsidRPr="00572DC5" w:rsidRDefault="13735C9C" w:rsidP="3050D374">
      <w:pPr>
        <w:ind w:left="709" w:hanging="709"/>
      </w:pPr>
      <w:r>
        <w:rPr>
          <w:noProof/>
        </w:rPr>
        <w:drawing>
          <wp:inline distT="0" distB="0" distL="0" distR="0" wp14:anchorId="71867A2F" wp14:editId="22531125">
            <wp:extent cx="6019800" cy="2838450"/>
            <wp:effectExtent l="0" t="0" r="0" b="0"/>
            <wp:docPr id="8903599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59901" name=""/>
                    <pic:cNvPicPr/>
                  </pic:nvPicPr>
                  <pic:blipFill>
                    <a:blip r:embed="rId21">
                      <a:extLst>
                        <a:ext uri="{28A0092B-C50C-407E-A947-70E740481C1C}">
                          <a14:useLocalDpi xmlns:a14="http://schemas.microsoft.com/office/drawing/2010/main" val="0"/>
                        </a:ext>
                      </a:extLst>
                    </a:blip>
                    <a:stretch>
                      <a:fillRect/>
                    </a:stretch>
                  </pic:blipFill>
                  <pic:spPr>
                    <a:xfrm>
                      <a:off x="0" y="0"/>
                      <a:ext cx="6019800" cy="2838450"/>
                    </a:xfrm>
                    <a:prstGeom prst="rect">
                      <a:avLst/>
                    </a:prstGeom>
                  </pic:spPr>
                </pic:pic>
              </a:graphicData>
            </a:graphic>
          </wp:inline>
        </w:drawing>
      </w:r>
    </w:p>
    <w:p w14:paraId="085937A4" w14:textId="57E0D5CE" w:rsidR="004843EE" w:rsidRPr="00572DC5" w:rsidRDefault="004843EE" w:rsidP="3050D374">
      <w:pPr>
        <w:ind w:left="709" w:hanging="709"/>
        <w:rPr>
          <w:rFonts w:eastAsia="Calibri" w:cs="Arial"/>
          <w:b/>
          <w:bCs/>
        </w:rPr>
      </w:pPr>
    </w:p>
    <w:p w14:paraId="615D2B17" w14:textId="0123FE87" w:rsidR="004843EE" w:rsidRDefault="004843EE" w:rsidP="00A83DCC">
      <w:pPr>
        <w:ind w:left="709" w:hanging="709"/>
        <w:rPr>
          <w:rFonts w:eastAsia="Calibri"/>
        </w:rPr>
      </w:pPr>
    </w:p>
    <w:p w14:paraId="0FE2A98F" w14:textId="77777777" w:rsidR="00A4691C" w:rsidRDefault="00A4691C" w:rsidP="00A83DCC">
      <w:pPr>
        <w:ind w:left="709" w:hanging="709"/>
        <w:rPr>
          <w:rFonts w:eastAsia="Calibri"/>
        </w:rPr>
      </w:pPr>
    </w:p>
    <w:p w14:paraId="6E1675EA" w14:textId="77777777" w:rsidR="00A4691C" w:rsidRDefault="00A4691C" w:rsidP="00A83DCC">
      <w:pPr>
        <w:ind w:left="709" w:hanging="709"/>
        <w:rPr>
          <w:rFonts w:eastAsia="Calibri"/>
        </w:rPr>
      </w:pPr>
    </w:p>
    <w:p w14:paraId="0316A75F" w14:textId="77777777" w:rsidR="005C05BC" w:rsidRDefault="005C05BC" w:rsidP="00A83DCC">
      <w:pPr>
        <w:ind w:left="709" w:hanging="709"/>
        <w:rPr>
          <w:rFonts w:eastAsia="Calibri"/>
        </w:rPr>
      </w:pPr>
    </w:p>
    <w:p w14:paraId="33C01F9E" w14:textId="77777777" w:rsidR="005C05BC" w:rsidRPr="00572DC5" w:rsidRDefault="005C05BC" w:rsidP="00A83DCC">
      <w:pPr>
        <w:ind w:left="709" w:hanging="709"/>
        <w:rPr>
          <w:rFonts w:eastAsia="Calibri"/>
        </w:rPr>
      </w:pP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525"/>
        <w:gridCol w:w="1046"/>
        <w:gridCol w:w="1046"/>
        <w:gridCol w:w="1046"/>
        <w:gridCol w:w="1046"/>
        <w:gridCol w:w="1046"/>
        <w:gridCol w:w="1046"/>
        <w:gridCol w:w="1046"/>
      </w:tblGrid>
      <w:tr w:rsidR="002A51B8" w14:paraId="28512427" w14:textId="77777777">
        <w:trPr>
          <w:trHeight w:val="300"/>
        </w:trPr>
        <w:tc>
          <w:tcPr>
            <w:tcW w:w="8847" w:type="dxa"/>
            <w:gridSpan w:val="8"/>
            <w:vAlign w:val="bottom"/>
          </w:tcPr>
          <w:p w14:paraId="23344BEA" w14:textId="4318D9C6" w:rsidR="002A51B8" w:rsidRPr="00CA7F4B" w:rsidRDefault="00CA7F4B" w:rsidP="3050D374">
            <w:pPr>
              <w:rPr>
                <w:rFonts w:ascii="Calibri" w:eastAsia="Calibri" w:hAnsi="Calibri" w:cs="Calibri"/>
                <w:b/>
                <w:bCs/>
                <w:color w:val="000000" w:themeColor="text1"/>
                <w:sz w:val="22"/>
                <w:szCs w:val="22"/>
              </w:rPr>
            </w:pPr>
            <w:r w:rsidRPr="00CA7F4B">
              <w:rPr>
                <w:rFonts w:ascii="Calibri" w:eastAsia="Calibri" w:hAnsi="Calibri" w:cs="Calibri"/>
                <w:b/>
                <w:bCs/>
                <w:color w:val="000000" w:themeColor="text1"/>
                <w:sz w:val="22"/>
                <w:szCs w:val="22"/>
              </w:rPr>
              <w:t xml:space="preserve">Table </w:t>
            </w:r>
            <w:r w:rsidR="009004FF">
              <w:rPr>
                <w:rFonts w:ascii="Calibri" w:eastAsia="Calibri" w:hAnsi="Calibri" w:cs="Calibri"/>
                <w:b/>
                <w:bCs/>
                <w:color w:val="000000" w:themeColor="text1"/>
                <w:sz w:val="22"/>
                <w:szCs w:val="22"/>
              </w:rPr>
              <w:t>7</w:t>
            </w:r>
            <w:r w:rsidRPr="00CA7F4B">
              <w:rPr>
                <w:rFonts w:ascii="Calibri" w:eastAsia="Calibri" w:hAnsi="Calibri" w:cs="Calibri"/>
                <w:b/>
                <w:bCs/>
                <w:color w:val="000000" w:themeColor="text1"/>
                <w:sz w:val="22"/>
                <w:szCs w:val="22"/>
              </w:rPr>
              <w:t xml:space="preserve"> : Increase Cover Ratio</w:t>
            </w:r>
          </w:p>
        </w:tc>
      </w:tr>
      <w:tr w:rsidR="3050D374" w14:paraId="73077BA5" w14:textId="77777777" w:rsidTr="3050D374">
        <w:trPr>
          <w:trHeight w:val="300"/>
        </w:trPr>
        <w:tc>
          <w:tcPr>
            <w:tcW w:w="1525" w:type="dxa"/>
            <w:vAlign w:val="bottom"/>
          </w:tcPr>
          <w:p w14:paraId="381AF233" w14:textId="112D3A10" w:rsidR="3050D374" w:rsidRDefault="3050D374" w:rsidP="3050D374">
            <w:r w:rsidRPr="3050D374">
              <w:rPr>
                <w:rFonts w:ascii="Calibri" w:eastAsia="Calibri" w:hAnsi="Calibri" w:cs="Calibri"/>
                <w:b/>
                <w:bCs/>
                <w:color w:val="000000" w:themeColor="text1"/>
                <w:sz w:val="22"/>
                <w:szCs w:val="22"/>
                <w:u w:val="single"/>
              </w:rPr>
              <w:t>Interest Cover Projection</w:t>
            </w:r>
          </w:p>
        </w:tc>
        <w:tc>
          <w:tcPr>
            <w:tcW w:w="1046" w:type="dxa"/>
            <w:vAlign w:val="bottom"/>
          </w:tcPr>
          <w:p w14:paraId="3F7F4391" w14:textId="70C3DBCB" w:rsidR="3050D374" w:rsidRDefault="3050D374" w:rsidP="3050D374">
            <w:r w:rsidRPr="3050D374">
              <w:rPr>
                <w:rFonts w:ascii="Calibri" w:eastAsia="Calibri" w:hAnsi="Calibri" w:cs="Calibri"/>
                <w:color w:val="000000" w:themeColor="text1"/>
                <w:sz w:val="22"/>
                <w:szCs w:val="22"/>
              </w:rPr>
              <w:t>2026-27</w:t>
            </w:r>
          </w:p>
        </w:tc>
        <w:tc>
          <w:tcPr>
            <w:tcW w:w="1046" w:type="dxa"/>
            <w:vAlign w:val="bottom"/>
          </w:tcPr>
          <w:p w14:paraId="14919B35" w14:textId="71037686" w:rsidR="3050D374" w:rsidRDefault="3050D374" w:rsidP="3050D374">
            <w:r w:rsidRPr="3050D374">
              <w:rPr>
                <w:rFonts w:ascii="Calibri" w:eastAsia="Calibri" w:hAnsi="Calibri" w:cs="Calibri"/>
                <w:color w:val="000000" w:themeColor="text1"/>
                <w:sz w:val="22"/>
                <w:szCs w:val="22"/>
              </w:rPr>
              <w:t>2027-28</w:t>
            </w:r>
          </w:p>
        </w:tc>
        <w:tc>
          <w:tcPr>
            <w:tcW w:w="1046" w:type="dxa"/>
            <w:vAlign w:val="bottom"/>
          </w:tcPr>
          <w:p w14:paraId="4EFD63ED" w14:textId="7FEB3E11" w:rsidR="3050D374" w:rsidRDefault="3050D374" w:rsidP="3050D374">
            <w:r w:rsidRPr="3050D374">
              <w:rPr>
                <w:rFonts w:ascii="Calibri" w:eastAsia="Calibri" w:hAnsi="Calibri" w:cs="Calibri"/>
                <w:color w:val="000000" w:themeColor="text1"/>
                <w:sz w:val="22"/>
                <w:szCs w:val="22"/>
              </w:rPr>
              <w:t>2028-29</w:t>
            </w:r>
          </w:p>
        </w:tc>
        <w:tc>
          <w:tcPr>
            <w:tcW w:w="1046" w:type="dxa"/>
            <w:vAlign w:val="bottom"/>
          </w:tcPr>
          <w:p w14:paraId="69103E4B" w14:textId="246ADE4C" w:rsidR="3050D374" w:rsidRDefault="3050D374" w:rsidP="3050D374">
            <w:r w:rsidRPr="3050D374">
              <w:rPr>
                <w:rFonts w:ascii="Calibri" w:eastAsia="Calibri" w:hAnsi="Calibri" w:cs="Calibri"/>
                <w:color w:val="000000" w:themeColor="text1"/>
                <w:sz w:val="22"/>
                <w:szCs w:val="22"/>
              </w:rPr>
              <w:t>2029-30</w:t>
            </w:r>
          </w:p>
        </w:tc>
        <w:tc>
          <w:tcPr>
            <w:tcW w:w="1046" w:type="dxa"/>
            <w:vAlign w:val="bottom"/>
          </w:tcPr>
          <w:p w14:paraId="366BF3DD" w14:textId="5B9E9B7E" w:rsidR="3050D374" w:rsidRDefault="3050D374" w:rsidP="3050D374">
            <w:r w:rsidRPr="3050D374">
              <w:rPr>
                <w:rFonts w:ascii="Calibri" w:eastAsia="Calibri" w:hAnsi="Calibri" w:cs="Calibri"/>
                <w:color w:val="000000" w:themeColor="text1"/>
                <w:sz w:val="22"/>
                <w:szCs w:val="22"/>
              </w:rPr>
              <w:t>2030-31</w:t>
            </w:r>
          </w:p>
        </w:tc>
        <w:tc>
          <w:tcPr>
            <w:tcW w:w="1046" w:type="dxa"/>
            <w:vAlign w:val="bottom"/>
          </w:tcPr>
          <w:p w14:paraId="3D5E189D" w14:textId="2A621F41" w:rsidR="3050D374" w:rsidRDefault="3050D374" w:rsidP="3050D374">
            <w:r w:rsidRPr="3050D374">
              <w:rPr>
                <w:rFonts w:ascii="Calibri" w:eastAsia="Calibri" w:hAnsi="Calibri" w:cs="Calibri"/>
                <w:color w:val="000000" w:themeColor="text1"/>
                <w:sz w:val="22"/>
                <w:szCs w:val="22"/>
              </w:rPr>
              <w:t>2031-32</w:t>
            </w:r>
          </w:p>
        </w:tc>
        <w:tc>
          <w:tcPr>
            <w:tcW w:w="1046" w:type="dxa"/>
            <w:vAlign w:val="bottom"/>
          </w:tcPr>
          <w:p w14:paraId="6A6DA559" w14:textId="37478DF4" w:rsidR="3050D374" w:rsidRDefault="3050D374" w:rsidP="3050D374">
            <w:r w:rsidRPr="3050D374">
              <w:rPr>
                <w:rFonts w:ascii="Calibri" w:eastAsia="Calibri" w:hAnsi="Calibri" w:cs="Calibri"/>
                <w:color w:val="000000" w:themeColor="text1"/>
                <w:sz w:val="22"/>
                <w:szCs w:val="22"/>
              </w:rPr>
              <w:t>2032-33</w:t>
            </w:r>
          </w:p>
        </w:tc>
      </w:tr>
      <w:tr w:rsidR="3050D374" w14:paraId="6991DD1F" w14:textId="77777777" w:rsidTr="3050D374">
        <w:trPr>
          <w:trHeight w:val="300"/>
        </w:trPr>
        <w:tc>
          <w:tcPr>
            <w:tcW w:w="1525" w:type="dxa"/>
            <w:vAlign w:val="bottom"/>
          </w:tcPr>
          <w:p w14:paraId="654FFCC9" w14:textId="6AA607B1" w:rsidR="3050D374" w:rsidRDefault="3050D374" w:rsidP="3050D374">
            <w:r w:rsidRPr="3050D374">
              <w:rPr>
                <w:rFonts w:ascii="Calibri" w:eastAsia="Calibri" w:hAnsi="Calibri" w:cs="Calibri"/>
                <w:color w:val="000000" w:themeColor="text1"/>
                <w:sz w:val="22"/>
                <w:szCs w:val="22"/>
              </w:rPr>
              <w:t>ICR</w:t>
            </w:r>
          </w:p>
        </w:tc>
        <w:tc>
          <w:tcPr>
            <w:tcW w:w="1046" w:type="dxa"/>
            <w:vAlign w:val="bottom"/>
          </w:tcPr>
          <w:p w14:paraId="2C696AAE" w14:textId="5792BA68" w:rsidR="3050D374" w:rsidRDefault="3050D374" w:rsidP="3050D374">
            <w:pPr>
              <w:jc w:val="right"/>
            </w:pPr>
            <w:r w:rsidRPr="3050D374">
              <w:rPr>
                <w:rFonts w:ascii="Calibri" w:eastAsia="Calibri" w:hAnsi="Calibri" w:cs="Calibri"/>
                <w:color w:val="000000" w:themeColor="text1"/>
                <w:sz w:val="22"/>
                <w:szCs w:val="22"/>
              </w:rPr>
              <w:t>1.10</w:t>
            </w:r>
          </w:p>
        </w:tc>
        <w:tc>
          <w:tcPr>
            <w:tcW w:w="1046" w:type="dxa"/>
            <w:vAlign w:val="bottom"/>
          </w:tcPr>
          <w:p w14:paraId="03BC9EEB" w14:textId="3A2D97C8" w:rsidR="3050D374" w:rsidRDefault="3050D374" w:rsidP="3050D374">
            <w:pPr>
              <w:jc w:val="right"/>
            </w:pPr>
            <w:r w:rsidRPr="3050D374">
              <w:rPr>
                <w:rFonts w:ascii="Calibri" w:eastAsia="Calibri" w:hAnsi="Calibri" w:cs="Calibri"/>
                <w:color w:val="000000" w:themeColor="text1"/>
                <w:sz w:val="22"/>
                <w:szCs w:val="22"/>
              </w:rPr>
              <w:t>1.10</w:t>
            </w:r>
          </w:p>
        </w:tc>
        <w:tc>
          <w:tcPr>
            <w:tcW w:w="1046" w:type="dxa"/>
            <w:vAlign w:val="bottom"/>
          </w:tcPr>
          <w:p w14:paraId="009C5A14" w14:textId="79548198" w:rsidR="3050D374" w:rsidRDefault="3050D374" w:rsidP="3050D374">
            <w:pPr>
              <w:jc w:val="right"/>
            </w:pPr>
            <w:r w:rsidRPr="3050D374">
              <w:rPr>
                <w:rFonts w:ascii="Calibri" w:eastAsia="Calibri" w:hAnsi="Calibri" w:cs="Calibri"/>
                <w:color w:val="000000" w:themeColor="text1"/>
                <w:sz w:val="22"/>
                <w:szCs w:val="22"/>
              </w:rPr>
              <w:t>1.16</w:t>
            </w:r>
          </w:p>
        </w:tc>
        <w:tc>
          <w:tcPr>
            <w:tcW w:w="1046" w:type="dxa"/>
            <w:vAlign w:val="bottom"/>
          </w:tcPr>
          <w:p w14:paraId="5FDF749C" w14:textId="74987678" w:rsidR="3050D374" w:rsidRDefault="3050D374" w:rsidP="3050D374">
            <w:pPr>
              <w:jc w:val="right"/>
            </w:pPr>
            <w:r w:rsidRPr="3050D374">
              <w:rPr>
                <w:rFonts w:ascii="Calibri" w:eastAsia="Calibri" w:hAnsi="Calibri" w:cs="Calibri"/>
                <w:color w:val="000000" w:themeColor="text1"/>
                <w:sz w:val="22"/>
                <w:szCs w:val="22"/>
              </w:rPr>
              <w:t>1.29</w:t>
            </w:r>
          </w:p>
        </w:tc>
        <w:tc>
          <w:tcPr>
            <w:tcW w:w="1046" w:type="dxa"/>
            <w:vAlign w:val="bottom"/>
          </w:tcPr>
          <w:p w14:paraId="1FFC955B" w14:textId="32E75351" w:rsidR="3050D374" w:rsidRDefault="3050D374" w:rsidP="3050D374">
            <w:pPr>
              <w:jc w:val="right"/>
            </w:pPr>
            <w:r w:rsidRPr="3050D374">
              <w:rPr>
                <w:rFonts w:ascii="Calibri" w:eastAsia="Calibri" w:hAnsi="Calibri" w:cs="Calibri"/>
                <w:color w:val="000000" w:themeColor="text1"/>
                <w:sz w:val="22"/>
                <w:szCs w:val="22"/>
              </w:rPr>
              <w:t>1.33</w:t>
            </w:r>
          </w:p>
        </w:tc>
        <w:tc>
          <w:tcPr>
            <w:tcW w:w="1046" w:type="dxa"/>
            <w:vAlign w:val="bottom"/>
          </w:tcPr>
          <w:p w14:paraId="39CBEB19" w14:textId="28495F8D" w:rsidR="3050D374" w:rsidRDefault="3050D374" w:rsidP="3050D374">
            <w:pPr>
              <w:jc w:val="right"/>
            </w:pPr>
            <w:r w:rsidRPr="3050D374">
              <w:rPr>
                <w:rFonts w:ascii="Calibri" w:eastAsia="Calibri" w:hAnsi="Calibri" w:cs="Calibri"/>
                <w:color w:val="000000" w:themeColor="text1"/>
                <w:sz w:val="22"/>
                <w:szCs w:val="22"/>
              </w:rPr>
              <w:t>1.25</w:t>
            </w:r>
          </w:p>
        </w:tc>
        <w:tc>
          <w:tcPr>
            <w:tcW w:w="1046" w:type="dxa"/>
            <w:vAlign w:val="bottom"/>
          </w:tcPr>
          <w:p w14:paraId="6C7B0395" w14:textId="0F3A50BD" w:rsidR="3050D374" w:rsidRDefault="3050D374" w:rsidP="3050D374">
            <w:pPr>
              <w:jc w:val="right"/>
            </w:pPr>
            <w:r w:rsidRPr="3050D374">
              <w:rPr>
                <w:rFonts w:ascii="Calibri" w:eastAsia="Calibri" w:hAnsi="Calibri" w:cs="Calibri"/>
                <w:color w:val="000000" w:themeColor="text1"/>
                <w:sz w:val="22"/>
                <w:szCs w:val="22"/>
              </w:rPr>
              <w:t>1.31</w:t>
            </w:r>
          </w:p>
        </w:tc>
      </w:tr>
      <w:tr w:rsidR="3050D374" w14:paraId="1590A0D4" w14:textId="77777777" w:rsidTr="00F90123">
        <w:trPr>
          <w:trHeight w:val="682"/>
        </w:trPr>
        <w:tc>
          <w:tcPr>
            <w:tcW w:w="1525" w:type="dxa"/>
            <w:vAlign w:val="bottom"/>
          </w:tcPr>
          <w:p w14:paraId="6EDD93E5" w14:textId="7ADB7343" w:rsidR="3050D374" w:rsidRDefault="3050D374" w:rsidP="3050D374">
            <w:r w:rsidRPr="3050D374">
              <w:rPr>
                <w:rFonts w:ascii="Calibri" w:eastAsia="Calibri" w:hAnsi="Calibri" w:cs="Calibri"/>
                <w:color w:val="000000" w:themeColor="text1"/>
                <w:sz w:val="22"/>
                <w:szCs w:val="22"/>
              </w:rPr>
              <w:t>Min ICR</w:t>
            </w:r>
          </w:p>
        </w:tc>
        <w:tc>
          <w:tcPr>
            <w:tcW w:w="1046" w:type="dxa"/>
            <w:vAlign w:val="bottom"/>
          </w:tcPr>
          <w:p w14:paraId="5339BDC6" w14:textId="07BBA118" w:rsidR="3050D374" w:rsidRDefault="3050D374" w:rsidP="3050D374">
            <w:pPr>
              <w:jc w:val="right"/>
            </w:pPr>
            <w:r w:rsidRPr="3050D374">
              <w:rPr>
                <w:rFonts w:ascii="Calibri" w:eastAsia="Calibri" w:hAnsi="Calibri" w:cs="Calibri"/>
                <w:color w:val="000000" w:themeColor="text1"/>
                <w:sz w:val="22"/>
                <w:szCs w:val="22"/>
              </w:rPr>
              <w:t>1.25</w:t>
            </w:r>
          </w:p>
        </w:tc>
        <w:tc>
          <w:tcPr>
            <w:tcW w:w="1046" w:type="dxa"/>
            <w:vAlign w:val="bottom"/>
          </w:tcPr>
          <w:p w14:paraId="527FD389" w14:textId="121F658B" w:rsidR="3050D374" w:rsidRDefault="3050D374" w:rsidP="3050D374">
            <w:pPr>
              <w:jc w:val="right"/>
            </w:pPr>
            <w:r w:rsidRPr="3050D374">
              <w:rPr>
                <w:rFonts w:ascii="Calibri" w:eastAsia="Calibri" w:hAnsi="Calibri" w:cs="Calibri"/>
                <w:color w:val="000000" w:themeColor="text1"/>
                <w:sz w:val="22"/>
                <w:szCs w:val="22"/>
              </w:rPr>
              <w:t>1.25</w:t>
            </w:r>
          </w:p>
        </w:tc>
        <w:tc>
          <w:tcPr>
            <w:tcW w:w="1046" w:type="dxa"/>
            <w:vAlign w:val="bottom"/>
          </w:tcPr>
          <w:p w14:paraId="13216C34" w14:textId="2D222AB7" w:rsidR="3050D374" w:rsidRDefault="3050D374" w:rsidP="3050D374">
            <w:pPr>
              <w:jc w:val="right"/>
            </w:pPr>
            <w:r w:rsidRPr="3050D374">
              <w:rPr>
                <w:rFonts w:ascii="Calibri" w:eastAsia="Calibri" w:hAnsi="Calibri" w:cs="Calibri"/>
                <w:color w:val="000000" w:themeColor="text1"/>
                <w:sz w:val="22"/>
                <w:szCs w:val="22"/>
              </w:rPr>
              <w:t>1.25</w:t>
            </w:r>
          </w:p>
        </w:tc>
        <w:tc>
          <w:tcPr>
            <w:tcW w:w="1046" w:type="dxa"/>
            <w:vAlign w:val="bottom"/>
          </w:tcPr>
          <w:p w14:paraId="58BED9CF" w14:textId="5C497064" w:rsidR="3050D374" w:rsidRDefault="3050D374" w:rsidP="3050D374">
            <w:pPr>
              <w:jc w:val="right"/>
            </w:pPr>
            <w:r w:rsidRPr="3050D374">
              <w:rPr>
                <w:rFonts w:ascii="Calibri" w:eastAsia="Calibri" w:hAnsi="Calibri" w:cs="Calibri"/>
                <w:color w:val="000000" w:themeColor="text1"/>
                <w:sz w:val="22"/>
                <w:szCs w:val="22"/>
              </w:rPr>
              <w:t>1.25</w:t>
            </w:r>
          </w:p>
        </w:tc>
        <w:tc>
          <w:tcPr>
            <w:tcW w:w="1046" w:type="dxa"/>
            <w:vAlign w:val="bottom"/>
          </w:tcPr>
          <w:p w14:paraId="10EE06E2" w14:textId="7DC85EC3" w:rsidR="3050D374" w:rsidRDefault="3050D374" w:rsidP="3050D374">
            <w:pPr>
              <w:jc w:val="right"/>
            </w:pPr>
            <w:r w:rsidRPr="3050D374">
              <w:rPr>
                <w:rFonts w:ascii="Calibri" w:eastAsia="Calibri" w:hAnsi="Calibri" w:cs="Calibri"/>
                <w:color w:val="000000" w:themeColor="text1"/>
                <w:sz w:val="22"/>
                <w:szCs w:val="22"/>
              </w:rPr>
              <w:t>1.25</w:t>
            </w:r>
          </w:p>
        </w:tc>
        <w:tc>
          <w:tcPr>
            <w:tcW w:w="1046" w:type="dxa"/>
            <w:vAlign w:val="bottom"/>
          </w:tcPr>
          <w:p w14:paraId="522BD2F1" w14:textId="61F13F8C" w:rsidR="3050D374" w:rsidRDefault="3050D374" w:rsidP="3050D374">
            <w:pPr>
              <w:jc w:val="right"/>
            </w:pPr>
            <w:r w:rsidRPr="3050D374">
              <w:rPr>
                <w:rFonts w:ascii="Calibri" w:eastAsia="Calibri" w:hAnsi="Calibri" w:cs="Calibri"/>
                <w:color w:val="000000" w:themeColor="text1"/>
                <w:sz w:val="22"/>
                <w:szCs w:val="22"/>
              </w:rPr>
              <w:t>1.25</w:t>
            </w:r>
          </w:p>
        </w:tc>
        <w:tc>
          <w:tcPr>
            <w:tcW w:w="1046" w:type="dxa"/>
            <w:vAlign w:val="bottom"/>
          </w:tcPr>
          <w:p w14:paraId="0F25E311" w14:textId="035A94CA" w:rsidR="3050D374" w:rsidRDefault="3050D374" w:rsidP="3050D374">
            <w:pPr>
              <w:jc w:val="right"/>
            </w:pPr>
            <w:r w:rsidRPr="3050D374">
              <w:rPr>
                <w:rFonts w:ascii="Calibri" w:eastAsia="Calibri" w:hAnsi="Calibri" w:cs="Calibri"/>
                <w:color w:val="000000" w:themeColor="text1"/>
                <w:sz w:val="22"/>
                <w:szCs w:val="22"/>
              </w:rPr>
              <w:t>1.25</w:t>
            </w:r>
          </w:p>
        </w:tc>
      </w:tr>
    </w:tbl>
    <w:p w14:paraId="3125E97A" w14:textId="0275437E" w:rsidR="00067B5C" w:rsidRDefault="00067B5C" w:rsidP="00A83DCC">
      <w:pPr>
        <w:ind w:left="709" w:hanging="709"/>
        <w:rPr>
          <w:rFonts w:eastAsia="Calibri" w:cs="Arial"/>
        </w:rPr>
      </w:pPr>
    </w:p>
    <w:p w14:paraId="1B9E6691" w14:textId="2E53F532" w:rsidR="00C54225" w:rsidRPr="00572DC5" w:rsidRDefault="6775318B" w:rsidP="00A83DCC">
      <w:pPr>
        <w:ind w:left="709" w:hanging="709"/>
        <w:rPr>
          <w:rFonts w:eastAsia="Calibri" w:cs="Arial"/>
        </w:rPr>
      </w:pPr>
      <w:r w:rsidRPr="3050D374">
        <w:rPr>
          <w:rFonts w:eastAsia="Calibri" w:cs="Arial"/>
        </w:rPr>
        <w:t>In line with the assumptions below</w:t>
      </w:r>
      <w:r w:rsidR="3274A3C7" w:rsidRPr="3050D374">
        <w:rPr>
          <w:rFonts w:eastAsia="Calibri" w:cs="Arial"/>
        </w:rPr>
        <w:t xml:space="preserve"> the above chart indicates</w:t>
      </w:r>
    </w:p>
    <w:p w14:paraId="6A1C280D" w14:textId="33CA014B" w:rsidR="1EDB5DC6" w:rsidRPr="00572DC5" w:rsidRDefault="1EDB5DC6" w:rsidP="1EDB5DC6">
      <w:pPr>
        <w:ind w:left="709" w:hanging="709"/>
        <w:rPr>
          <w:rFonts w:eastAsia="Calibri" w:cs="Arial"/>
        </w:rPr>
      </w:pPr>
    </w:p>
    <w:p w14:paraId="4047AC68" w14:textId="7BEB5AFB" w:rsidR="1E2D3D44" w:rsidRDefault="1E2D3D44" w:rsidP="00712800">
      <w:pPr>
        <w:pStyle w:val="ListParagraph"/>
        <w:numPr>
          <w:ilvl w:val="0"/>
          <w:numId w:val="26"/>
        </w:numPr>
        <w:rPr>
          <w:rFonts w:eastAsia="Calibri" w:cs="Arial"/>
        </w:rPr>
      </w:pPr>
      <w:r w:rsidRPr="3050D374">
        <w:rPr>
          <w:rFonts w:eastAsia="Calibri" w:cs="Arial"/>
        </w:rPr>
        <w:t>T</w:t>
      </w:r>
      <w:r w:rsidR="2874380B" w:rsidRPr="3050D374">
        <w:rPr>
          <w:rFonts w:eastAsia="Calibri" w:cs="Arial"/>
        </w:rPr>
        <w:t xml:space="preserve">he </w:t>
      </w:r>
      <w:r w:rsidR="20559191" w:rsidRPr="3050D374">
        <w:rPr>
          <w:rFonts w:eastAsia="Calibri" w:cs="Arial"/>
        </w:rPr>
        <w:t xml:space="preserve">HRA programme is borderline affordable </w:t>
      </w:r>
      <w:r w:rsidR="2A907228" w:rsidRPr="3050D374">
        <w:rPr>
          <w:rFonts w:eastAsia="Calibri" w:cs="Arial"/>
        </w:rPr>
        <w:t>with</w:t>
      </w:r>
      <w:r w:rsidR="20559191" w:rsidRPr="3050D374">
        <w:rPr>
          <w:rFonts w:eastAsia="Calibri" w:cs="Arial"/>
        </w:rPr>
        <w:t xml:space="preserve"> the </w:t>
      </w:r>
      <w:r w:rsidR="2874380B" w:rsidRPr="3050D374">
        <w:rPr>
          <w:rFonts w:eastAsia="Calibri" w:cs="Arial"/>
        </w:rPr>
        <w:t xml:space="preserve">ICR </w:t>
      </w:r>
      <w:r w:rsidR="00B31E37">
        <w:rPr>
          <w:rFonts w:eastAsia="Calibri" w:cs="Arial"/>
        </w:rPr>
        <w:t xml:space="preserve">marginally </w:t>
      </w:r>
      <w:r w:rsidR="44C5BAEB" w:rsidRPr="3050D374">
        <w:rPr>
          <w:rFonts w:eastAsia="Calibri" w:cs="Arial"/>
        </w:rPr>
        <w:t>below the minimum of 1.25</w:t>
      </w:r>
      <w:r w:rsidR="2874380B" w:rsidRPr="3050D374">
        <w:rPr>
          <w:rFonts w:eastAsia="Calibri" w:cs="Arial"/>
        </w:rPr>
        <w:t xml:space="preserve"> </w:t>
      </w:r>
      <w:r w:rsidR="02370388" w:rsidRPr="3050D374">
        <w:rPr>
          <w:rFonts w:eastAsia="Calibri" w:cs="Arial"/>
        </w:rPr>
        <w:t>until</w:t>
      </w:r>
      <w:r w:rsidR="1DE581E3" w:rsidRPr="3050D374">
        <w:rPr>
          <w:rFonts w:eastAsia="Calibri" w:cs="Arial"/>
        </w:rPr>
        <w:t xml:space="preserve"> 20</w:t>
      </w:r>
      <w:r w:rsidR="42EDCFBB" w:rsidRPr="3050D374">
        <w:rPr>
          <w:rFonts w:eastAsia="Calibri" w:cs="Arial"/>
        </w:rPr>
        <w:t>29</w:t>
      </w:r>
      <w:r w:rsidR="1DE581E3" w:rsidRPr="3050D374">
        <w:rPr>
          <w:rFonts w:eastAsia="Calibri" w:cs="Arial"/>
        </w:rPr>
        <w:t>-3</w:t>
      </w:r>
      <w:r w:rsidR="365B05AE" w:rsidRPr="3050D374">
        <w:rPr>
          <w:rFonts w:eastAsia="Calibri" w:cs="Arial"/>
        </w:rPr>
        <w:t>0</w:t>
      </w:r>
      <w:r w:rsidR="1DE581E3" w:rsidRPr="3050D374">
        <w:rPr>
          <w:rFonts w:eastAsia="Calibri" w:cs="Arial"/>
        </w:rPr>
        <w:t xml:space="preserve">. There is in effect no </w:t>
      </w:r>
      <w:r w:rsidR="64F9D843" w:rsidRPr="3050D374">
        <w:rPr>
          <w:rFonts w:eastAsia="Calibri" w:cs="Arial"/>
        </w:rPr>
        <w:t>capacity</w:t>
      </w:r>
      <w:r w:rsidR="1DE581E3" w:rsidRPr="3050D374">
        <w:rPr>
          <w:rFonts w:eastAsia="Calibri" w:cs="Arial"/>
        </w:rPr>
        <w:t xml:space="preserve"> for further spend in the HRA Bu</w:t>
      </w:r>
      <w:r w:rsidR="49501219" w:rsidRPr="3050D374">
        <w:rPr>
          <w:rFonts w:eastAsia="Calibri" w:cs="Arial"/>
        </w:rPr>
        <w:t>s</w:t>
      </w:r>
      <w:r w:rsidR="1DE581E3" w:rsidRPr="3050D374">
        <w:rPr>
          <w:rFonts w:eastAsia="Calibri" w:cs="Arial"/>
        </w:rPr>
        <w:t>iness Plan i</w:t>
      </w:r>
      <w:r w:rsidR="4978F1D6" w:rsidRPr="3050D374">
        <w:rPr>
          <w:rFonts w:eastAsia="Calibri" w:cs="Arial"/>
        </w:rPr>
        <w:t>n the medium term</w:t>
      </w:r>
      <w:r w:rsidR="26035651" w:rsidRPr="3050D374">
        <w:rPr>
          <w:rFonts w:eastAsia="Calibri" w:cs="Arial"/>
        </w:rPr>
        <w:t>.</w:t>
      </w:r>
    </w:p>
    <w:p w14:paraId="516D88EB" w14:textId="292C0874" w:rsidR="2AB91E2C" w:rsidRPr="00572DC5" w:rsidRDefault="14BE9485" w:rsidP="00712800">
      <w:pPr>
        <w:pStyle w:val="ListParagraph"/>
        <w:numPr>
          <w:ilvl w:val="0"/>
          <w:numId w:val="26"/>
        </w:numPr>
        <w:rPr>
          <w:rFonts w:eastAsia="Calibri" w:cs="Arial"/>
        </w:rPr>
      </w:pPr>
      <w:r w:rsidRPr="3050D374">
        <w:rPr>
          <w:rFonts w:eastAsia="Calibri" w:cs="Arial"/>
        </w:rPr>
        <w:t>The</w:t>
      </w:r>
      <w:r w:rsidR="21634967" w:rsidRPr="3050D374">
        <w:rPr>
          <w:rFonts w:eastAsia="Calibri" w:cs="Arial"/>
        </w:rPr>
        <w:t xml:space="preserve"> rent </w:t>
      </w:r>
      <w:r w:rsidR="74FBA6B4" w:rsidRPr="3050D374">
        <w:rPr>
          <w:rFonts w:eastAsia="Calibri" w:cs="Arial"/>
        </w:rPr>
        <w:t>increases</w:t>
      </w:r>
      <w:r w:rsidR="21634967" w:rsidRPr="3050D374">
        <w:rPr>
          <w:rFonts w:eastAsia="Calibri" w:cs="Arial"/>
        </w:rPr>
        <w:t xml:space="preserve"> </w:t>
      </w:r>
      <w:r w:rsidR="0980F733" w:rsidRPr="3050D374">
        <w:rPr>
          <w:rFonts w:eastAsia="Calibri" w:cs="Arial"/>
        </w:rPr>
        <w:t>have been</w:t>
      </w:r>
      <w:r w:rsidR="21634967" w:rsidRPr="3050D374">
        <w:rPr>
          <w:rFonts w:eastAsia="Calibri" w:cs="Arial"/>
        </w:rPr>
        <w:t xml:space="preserve"> extended at CPI+1% for a period of 10 years post 2025-26 </w:t>
      </w:r>
      <w:r w:rsidR="0481EE0D" w:rsidRPr="3050D374">
        <w:rPr>
          <w:rFonts w:eastAsia="Calibri" w:cs="Arial"/>
        </w:rPr>
        <w:t xml:space="preserve">resulting in </w:t>
      </w:r>
      <w:r w:rsidR="21634967" w:rsidRPr="3050D374">
        <w:rPr>
          <w:rFonts w:eastAsia="Calibri" w:cs="Arial"/>
        </w:rPr>
        <w:t xml:space="preserve">further borrowing </w:t>
      </w:r>
      <w:r w:rsidR="7A0B99DA" w:rsidRPr="3050D374">
        <w:rPr>
          <w:rFonts w:eastAsia="Calibri" w:cs="Arial"/>
        </w:rPr>
        <w:t>capacity</w:t>
      </w:r>
      <w:r w:rsidR="21634967" w:rsidRPr="3050D374">
        <w:rPr>
          <w:rFonts w:eastAsia="Calibri" w:cs="Arial"/>
        </w:rPr>
        <w:t xml:space="preserve"> </w:t>
      </w:r>
      <w:r w:rsidR="6683CA61" w:rsidRPr="3050D374">
        <w:rPr>
          <w:rFonts w:eastAsia="Calibri" w:cs="Arial"/>
        </w:rPr>
        <w:t xml:space="preserve">from around </w:t>
      </w:r>
      <w:r w:rsidR="3DCCB376" w:rsidRPr="3050D374">
        <w:rPr>
          <w:rFonts w:eastAsia="Calibri" w:cs="Arial"/>
        </w:rPr>
        <w:t>203</w:t>
      </w:r>
      <w:r w:rsidR="0076639F">
        <w:rPr>
          <w:rFonts w:eastAsia="Calibri" w:cs="Arial"/>
        </w:rPr>
        <w:t>2</w:t>
      </w:r>
      <w:r w:rsidR="3DCCB376" w:rsidRPr="3050D374">
        <w:rPr>
          <w:rFonts w:eastAsia="Calibri" w:cs="Arial"/>
        </w:rPr>
        <w:t>-3</w:t>
      </w:r>
      <w:r w:rsidR="0076639F">
        <w:rPr>
          <w:rFonts w:eastAsia="Calibri" w:cs="Arial"/>
        </w:rPr>
        <w:t>3</w:t>
      </w:r>
      <w:r w:rsidR="3DCCB376" w:rsidRPr="3050D374">
        <w:rPr>
          <w:rFonts w:eastAsia="Calibri" w:cs="Arial"/>
        </w:rPr>
        <w:t xml:space="preserve"> </w:t>
      </w:r>
      <w:r w:rsidR="35B073B7" w:rsidRPr="3050D374">
        <w:rPr>
          <w:rFonts w:eastAsia="Calibri" w:cs="Arial"/>
        </w:rPr>
        <w:t>of around £</w:t>
      </w:r>
      <w:r w:rsidR="6B27B4CB" w:rsidRPr="3050D374">
        <w:rPr>
          <w:rFonts w:eastAsia="Calibri" w:cs="Arial"/>
        </w:rPr>
        <w:t>8</w:t>
      </w:r>
      <w:r w:rsidR="35B073B7" w:rsidRPr="3050D374">
        <w:rPr>
          <w:rFonts w:eastAsia="Calibri" w:cs="Arial"/>
        </w:rPr>
        <w:t xml:space="preserve">00m </w:t>
      </w:r>
      <w:r w:rsidR="15F6C9E7" w:rsidRPr="3050D374">
        <w:rPr>
          <w:rFonts w:eastAsia="Calibri" w:cs="Arial"/>
        </w:rPr>
        <w:t>over the next 30 years.</w:t>
      </w:r>
      <w:r w:rsidR="019B4570" w:rsidRPr="3050D374">
        <w:rPr>
          <w:rFonts w:eastAsia="Calibri" w:cs="Arial"/>
        </w:rPr>
        <w:t xml:space="preserve"> </w:t>
      </w:r>
      <w:r w:rsidR="2AB91E2C" w:rsidRPr="3050D374">
        <w:rPr>
          <w:rFonts w:eastAsia="Calibri" w:cs="Arial"/>
        </w:rPr>
        <w:t>Although not in</w:t>
      </w:r>
      <w:r w:rsidR="002C7326" w:rsidRPr="3050D374">
        <w:rPr>
          <w:rFonts w:eastAsia="Calibri" w:cs="Arial"/>
        </w:rPr>
        <w:t>cluded over</w:t>
      </w:r>
      <w:r w:rsidR="2AB91E2C" w:rsidRPr="3050D374">
        <w:rPr>
          <w:rFonts w:eastAsia="Calibri" w:cs="Arial"/>
        </w:rPr>
        <w:t xml:space="preserve"> the next 5 years</w:t>
      </w:r>
      <w:r w:rsidR="6244D918" w:rsidRPr="3050D374">
        <w:rPr>
          <w:rFonts w:eastAsia="Calibri" w:cs="Arial"/>
        </w:rPr>
        <w:t>,</w:t>
      </w:r>
      <w:r w:rsidR="2AB91E2C" w:rsidRPr="3050D374">
        <w:rPr>
          <w:rFonts w:eastAsia="Calibri" w:cs="Arial"/>
        </w:rPr>
        <w:t xml:space="preserve"> the council will have choices of where to spend the additional borrowing capacity that is </w:t>
      </w:r>
      <w:r w:rsidR="7D263A3B" w:rsidRPr="3050D374">
        <w:rPr>
          <w:rFonts w:eastAsia="Calibri" w:cs="Arial"/>
        </w:rPr>
        <w:t>expected</w:t>
      </w:r>
      <w:r w:rsidR="2AB91E2C" w:rsidRPr="3050D374">
        <w:rPr>
          <w:rFonts w:eastAsia="Calibri" w:cs="Arial"/>
        </w:rPr>
        <w:t xml:space="preserve"> to arise from </w:t>
      </w:r>
      <w:r w:rsidR="7E3D0538" w:rsidRPr="3050D374">
        <w:rPr>
          <w:rFonts w:eastAsia="Calibri" w:cs="Arial"/>
        </w:rPr>
        <w:t>203</w:t>
      </w:r>
      <w:r w:rsidR="00681D3F">
        <w:rPr>
          <w:rFonts w:eastAsia="Calibri" w:cs="Arial"/>
        </w:rPr>
        <w:t>2</w:t>
      </w:r>
      <w:r w:rsidR="2AB91E2C" w:rsidRPr="3050D374">
        <w:rPr>
          <w:rFonts w:eastAsia="Calibri" w:cs="Arial"/>
        </w:rPr>
        <w:t xml:space="preserve"> onwards. Although not exhaustive </w:t>
      </w:r>
      <w:r w:rsidR="384ACB15" w:rsidRPr="3050D374">
        <w:rPr>
          <w:rFonts w:eastAsia="Calibri" w:cs="Arial"/>
        </w:rPr>
        <w:t>th</w:t>
      </w:r>
      <w:r w:rsidR="7FFB48E9" w:rsidRPr="3050D374">
        <w:rPr>
          <w:rFonts w:eastAsia="Calibri" w:cs="Arial"/>
        </w:rPr>
        <w:t>e</w:t>
      </w:r>
      <w:r w:rsidR="384ACB15" w:rsidRPr="3050D374">
        <w:rPr>
          <w:rFonts w:eastAsia="Calibri" w:cs="Arial"/>
        </w:rPr>
        <w:t>se choices</w:t>
      </w:r>
      <w:r w:rsidR="387CEBB4" w:rsidRPr="3050D374">
        <w:rPr>
          <w:rFonts w:eastAsia="Calibri" w:cs="Arial"/>
        </w:rPr>
        <w:t xml:space="preserve"> would </w:t>
      </w:r>
      <w:r w:rsidR="286E29B0" w:rsidRPr="3050D374">
        <w:rPr>
          <w:rFonts w:eastAsia="Calibri" w:cs="Arial"/>
        </w:rPr>
        <w:t>include:</w:t>
      </w:r>
    </w:p>
    <w:p w14:paraId="0F4EC8BA" w14:textId="043C3E6F" w:rsidR="387CEBB4" w:rsidRPr="00572DC5" w:rsidRDefault="387CEBB4" w:rsidP="00712800">
      <w:pPr>
        <w:pStyle w:val="ListParagraph"/>
        <w:numPr>
          <w:ilvl w:val="0"/>
          <w:numId w:val="25"/>
        </w:numPr>
        <w:ind w:left="1620" w:hanging="450"/>
        <w:rPr>
          <w:rFonts w:eastAsia="Calibri" w:cs="Arial"/>
        </w:rPr>
      </w:pPr>
      <w:r w:rsidRPr="3050D374">
        <w:rPr>
          <w:rFonts w:eastAsia="Calibri" w:cs="Arial"/>
          <w:b/>
        </w:rPr>
        <w:t>Existing dwellings</w:t>
      </w:r>
      <w:r w:rsidRPr="3050D374">
        <w:rPr>
          <w:rFonts w:eastAsia="Calibri" w:cs="Arial"/>
        </w:rPr>
        <w:t xml:space="preserve"> – </w:t>
      </w:r>
      <w:r w:rsidR="565D1259" w:rsidRPr="3050D374">
        <w:rPr>
          <w:rFonts w:eastAsia="Calibri" w:cs="Arial"/>
        </w:rPr>
        <w:t xml:space="preserve">additional </w:t>
      </w:r>
      <w:r w:rsidR="00260D9F" w:rsidRPr="3050D374">
        <w:rPr>
          <w:rFonts w:eastAsia="Calibri" w:cs="Arial"/>
        </w:rPr>
        <w:t>investment</w:t>
      </w:r>
      <w:r w:rsidR="565D1259" w:rsidRPr="3050D374">
        <w:rPr>
          <w:rFonts w:eastAsia="Calibri" w:cs="Arial"/>
        </w:rPr>
        <w:t xml:space="preserve"> </w:t>
      </w:r>
      <w:r w:rsidR="37D35888" w:rsidRPr="3050D374">
        <w:rPr>
          <w:rFonts w:eastAsia="Calibri" w:cs="Arial"/>
        </w:rPr>
        <w:t xml:space="preserve">for decent homes standard </w:t>
      </w:r>
      <w:r w:rsidR="565D1259" w:rsidRPr="3050D374">
        <w:rPr>
          <w:rFonts w:eastAsia="Calibri" w:cs="Arial"/>
        </w:rPr>
        <w:t>which is not currently in the programme</w:t>
      </w:r>
      <w:r w:rsidR="00510EC9" w:rsidRPr="3050D374">
        <w:rPr>
          <w:rFonts w:eastAsia="Calibri" w:cs="Arial"/>
        </w:rPr>
        <w:t>.</w:t>
      </w:r>
    </w:p>
    <w:p w14:paraId="29B8EC7F" w14:textId="2E63B44D" w:rsidR="565D1259" w:rsidRPr="00572DC5" w:rsidRDefault="565D1259" w:rsidP="00712800">
      <w:pPr>
        <w:pStyle w:val="ListParagraph"/>
        <w:numPr>
          <w:ilvl w:val="0"/>
          <w:numId w:val="25"/>
        </w:numPr>
        <w:ind w:left="1620" w:hanging="450"/>
        <w:rPr>
          <w:rFonts w:eastAsia="Calibri" w:cs="Arial"/>
        </w:rPr>
      </w:pPr>
      <w:r w:rsidRPr="3050D374">
        <w:rPr>
          <w:rFonts w:eastAsia="Calibri" w:cs="Arial"/>
          <w:b/>
        </w:rPr>
        <w:t xml:space="preserve">Zero carbon works </w:t>
      </w:r>
      <w:r w:rsidRPr="3050D374">
        <w:rPr>
          <w:rFonts w:eastAsia="Calibri" w:cs="Arial"/>
        </w:rPr>
        <w:t xml:space="preserve">– Included within the </w:t>
      </w:r>
      <w:r w:rsidR="00877046" w:rsidRPr="3050D374">
        <w:rPr>
          <w:rFonts w:eastAsia="Calibri" w:cs="Arial"/>
        </w:rPr>
        <w:t>5</w:t>
      </w:r>
      <w:r w:rsidR="004D3722" w:rsidRPr="3050D374">
        <w:rPr>
          <w:rFonts w:eastAsia="Calibri" w:cs="Arial"/>
        </w:rPr>
        <w:t xml:space="preserve">-year </w:t>
      </w:r>
      <w:r w:rsidR="00877046" w:rsidRPr="3050D374">
        <w:rPr>
          <w:rFonts w:eastAsia="Calibri" w:cs="Arial"/>
        </w:rPr>
        <w:t>Investment</w:t>
      </w:r>
      <w:r w:rsidR="00285A1F" w:rsidRPr="3050D374">
        <w:rPr>
          <w:rFonts w:eastAsia="Calibri" w:cs="Arial"/>
        </w:rPr>
        <w:t xml:space="preserve"> P</w:t>
      </w:r>
      <w:r w:rsidRPr="3050D374">
        <w:rPr>
          <w:rFonts w:eastAsia="Calibri" w:cs="Arial"/>
        </w:rPr>
        <w:t>lan is £</w:t>
      </w:r>
      <w:r w:rsidR="00877046" w:rsidRPr="3050D374">
        <w:rPr>
          <w:rFonts w:eastAsia="Calibri" w:cs="Arial"/>
        </w:rPr>
        <w:t>22</w:t>
      </w:r>
      <w:r w:rsidR="00B3587F" w:rsidRPr="3050D374">
        <w:rPr>
          <w:rFonts w:eastAsia="Calibri" w:cs="Arial"/>
        </w:rPr>
        <w:t xml:space="preserve"> </w:t>
      </w:r>
      <w:r w:rsidR="00704330" w:rsidRPr="3050D374">
        <w:rPr>
          <w:rFonts w:eastAsia="Calibri" w:cs="Arial"/>
        </w:rPr>
        <w:t>million</w:t>
      </w:r>
      <w:r w:rsidR="00034D3C" w:rsidRPr="3050D374">
        <w:rPr>
          <w:rFonts w:eastAsia="Calibri" w:cs="Arial"/>
        </w:rPr>
        <w:t xml:space="preserve"> </w:t>
      </w:r>
      <w:r w:rsidRPr="3050D374">
        <w:rPr>
          <w:rFonts w:eastAsia="Calibri" w:cs="Arial"/>
        </w:rPr>
        <w:t>for energy eff</w:t>
      </w:r>
      <w:r w:rsidR="1AD9A12E" w:rsidRPr="3050D374">
        <w:rPr>
          <w:rFonts w:eastAsia="Calibri" w:cs="Arial"/>
        </w:rPr>
        <w:t>i</w:t>
      </w:r>
      <w:r w:rsidRPr="3050D374">
        <w:rPr>
          <w:rFonts w:eastAsia="Calibri" w:cs="Arial"/>
        </w:rPr>
        <w:t>ci</w:t>
      </w:r>
      <w:r w:rsidR="1CE87428" w:rsidRPr="3050D374">
        <w:rPr>
          <w:rFonts w:eastAsia="Calibri" w:cs="Arial"/>
        </w:rPr>
        <w:t>enc</w:t>
      </w:r>
      <w:r w:rsidRPr="3050D374">
        <w:rPr>
          <w:rFonts w:eastAsia="Calibri" w:cs="Arial"/>
        </w:rPr>
        <w:t>y works which will assist w</w:t>
      </w:r>
      <w:r w:rsidR="7E612D40" w:rsidRPr="3050D374">
        <w:rPr>
          <w:rFonts w:eastAsia="Calibri" w:cs="Arial"/>
        </w:rPr>
        <w:t>i</w:t>
      </w:r>
      <w:r w:rsidRPr="3050D374">
        <w:rPr>
          <w:rFonts w:eastAsia="Calibri" w:cs="Arial"/>
        </w:rPr>
        <w:t xml:space="preserve">th progressing the </w:t>
      </w:r>
      <w:r w:rsidR="085DC0C6" w:rsidRPr="3050D374">
        <w:rPr>
          <w:rFonts w:eastAsia="Calibri" w:cs="Arial"/>
        </w:rPr>
        <w:t xml:space="preserve">council towards zero carbon by </w:t>
      </w:r>
      <w:r w:rsidR="0064039A" w:rsidRPr="3050D374">
        <w:rPr>
          <w:rFonts w:eastAsia="Calibri" w:cs="Arial"/>
        </w:rPr>
        <w:t>2040.</w:t>
      </w:r>
      <w:r w:rsidR="085DC0C6" w:rsidRPr="3050D374">
        <w:rPr>
          <w:rFonts w:eastAsia="Calibri" w:cs="Arial"/>
        </w:rPr>
        <w:t xml:space="preserve"> </w:t>
      </w:r>
      <w:r w:rsidR="006E72F1" w:rsidRPr="3050D374">
        <w:rPr>
          <w:rFonts w:eastAsia="Calibri" w:cs="Arial"/>
        </w:rPr>
        <w:t>Notwithstanding</w:t>
      </w:r>
      <w:r w:rsidR="7432E79D" w:rsidRPr="3050D374">
        <w:rPr>
          <w:rFonts w:eastAsia="Calibri" w:cs="Arial"/>
        </w:rPr>
        <w:t xml:space="preserve"> the potential addit</w:t>
      </w:r>
      <w:r w:rsidR="006E72F1" w:rsidRPr="3050D374">
        <w:rPr>
          <w:rFonts w:eastAsia="Calibri" w:cs="Arial"/>
        </w:rPr>
        <w:t>i</w:t>
      </w:r>
      <w:r w:rsidR="7432E79D" w:rsidRPr="3050D374">
        <w:rPr>
          <w:rFonts w:eastAsia="Calibri" w:cs="Arial"/>
        </w:rPr>
        <w:t xml:space="preserve">onal borrowing </w:t>
      </w:r>
      <w:r w:rsidR="00AC59F6" w:rsidRPr="3050D374">
        <w:rPr>
          <w:rFonts w:eastAsia="Calibri" w:cs="Arial"/>
        </w:rPr>
        <w:t>capacity,</w:t>
      </w:r>
      <w:r w:rsidR="7432E79D" w:rsidRPr="3050D374">
        <w:rPr>
          <w:rFonts w:eastAsia="Calibri" w:cs="Arial"/>
        </w:rPr>
        <w:t xml:space="preserve"> the current HRA busin</w:t>
      </w:r>
      <w:r w:rsidR="004D0444" w:rsidRPr="3050D374">
        <w:rPr>
          <w:rFonts w:eastAsia="Calibri" w:cs="Arial"/>
        </w:rPr>
        <w:t>e</w:t>
      </w:r>
      <w:r w:rsidR="7432E79D" w:rsidRPr="3050D374">
        <w:rPr>
          <w:rFonts w:eastAsia="Calibri" w:cs="Arial"/>
        </w:rPr>
        <w:t xml:space="preserve">ss plan </w:t>
      </w:r>
      <w:r w:rsidR="00653060" w:rsidRPr="3050D374">
        <w:rPr>
          <w:rFonts w:eastAsia="Calibri" w:cs="Arial"/>
        </w:rPr>
        <w:t xml:space="preserve">already </w:t>
      </w:r>
      <w:r w:rsidR="00467A68" w:rsidRPr="3050D374">
        <w:rPr>
          <w:rFonts w:eastAsia="Calibri" w:cs="Arial"/>
        </w:rPr>
        <w:t>includes a total of £48 million</w:t>
      </w:r>
      <w:r w:rsidR="00653060" w:rsidRPr="3050D374">
        <w:rPr>
          <w:rFonts w:eastAsia="Calibri" w:cs="Arial"/>
        </w:rPr>
        <w:t xml:space="preserve"> for the 40-year period.</w:t>
      </w:r>
    </w:p>
    <w:p w14:paraId="186D4DD0" w14:textId="2F981BD1" w:rsidR="7432E79D" w:rsidRPr="00572DC5" w:rsidRDefault="7432E79D" w:rsidP="00712800">
      <w:pPr>
        <w:pStyle w:val="ListParagraph"/>
        <w:numPr>
          <w:ilvl w:val="0"/>
          <w:numId w:val="25"/>
        </w:numPr>
        <w:ind w:left="1620" w:hanging="450"/>
        <w:rPr>
          <w:rFonts w:eastAsia="Calibri" w:cs="Arial"/>
        </w:rPr>
      </w:pPr>
      <w:r w:rsidRPr="3050D374">
        <w:rPr>
          <w:rFonts w:eastAsia="Calibri" w:cs="Arial"/>
          <w:b/>
        </w:rPr>
        <w:t xml:space="preserve">New dwellings </w:t>
      </w:r>
      <w:r w:rsidRPr="3050D374">
        <w:rPr>
          <w:rFonts w:eastAsia="Calibri" w:cs="Arial"/>
        </w:rPr>
        <w:t>–the current 10</w:t>
      </w:r>
      <w:r w:rsidR="00211149" w:rsidRPr="3050D374">
        <w:rPr>
          <w:rFonts w:eastAsia="Calibri" w:cs="Arial"/>
        </w:rPr>
        <w:t>-</w:t>
      </w:r>
      <w:r w:rsidRPr="3050D374">
        <w:rPr>
          <w:rFonts w:eastAsia="Calibri" w:cs="Arial"/>
        </w:rPr>
        <w:t>year housing investment programme with O</w:t>
      </w:r>
      <w:r w:rsidR="00943810" w:rsidRPr="3050D374">
        <w:rPr>
          <w:rFonts w:eastAsia="Calibri" w:cs="Arial"/>
        </w:rPr>
        <w:t>X P</w:t>
      </w:r>
      <w:r w:rsidRPr="3050D374">
        <w:rPr>
          <w:rFonts w:eastAsia="Calibri" w:cs="Arial"/>
        </w:rPr>
        <w:t>lace</w:t>
      </w:r>
      <w:r w:rsidR="00653060" w:rsidRPr="3050D374">
        <w:rPr>
          <w:rFonts w:eastAsia="Calibri" w:cs="Arial"/>
        </w:rPr>
        <w:t>,</w:t>
      </w:r>
      <w:r w:rsidRPr="3050D374">
        <w:rPr>
          <w:rFonts w:eastAsia="Calibri" w:cs="Arial"/>
        </w:rPr>
        <w:t xml:space="preserve"> notwiths</w:t>
      </w:r>
      <w:r w:rsidR="00AB7A2C" w:rsidRPr="3050D374">
        <w:rPr>
          <w:rFonts w:eastAsia="Calibri" w:cs="Arial"/>
        </w:rPr>
        <w:t>t</w:t>
      </w:r>
      <w:r w:rsidRPr="3050D374">
        <w:rPr>
          <w:rFonts w:eastAsia="Calibri" w:cs="Arial"/>
        </w:rPr>
        <w:t>an</w:t>
      </w:r>
      <w:r w:rsidR="00AB7A2C" w:rsidRPr="3050D374">
        <w:rPr>
          <w:rFonts w:eastAsia="Calibri" w:cs="Arial"/>
        </w:rPr>
        <w:t>d</w:t>
      </w:r>
      <w:r w:rsidRPr="3050D374">
        <w:rPr>
          <w:rFonts w:eastAsia="Calibri" w:cs="Arial"/>
        </w:rPr>
        <w:t>ing sl</w:t>
      </w:r>
      <w:r w:rsidR="00AB7A2C" w:rsidRPr="3050D374">
        <w:rPr>
          <w:rFonts w:eastAsia="Calibri" w:cs="Arial"/>
        </w:rPr>
        <w:t>i</w:t>
      </w:r>
      <w:r w:rsidRPr="3050D374">
        <w:rPr>
          <w:rFonts w:eastAsia="Calibri" w:cs="Arial"/>
        </w:rPr>
        <w:t>ppage</w:t>
      </w:r>
      <w:r w:rsidR="00653060" w:rsidRPr="3050D374">
        <w:rPr>
          <w:rFonts w:eastAsia="Calibri" w:cs="Arial"/>
        </w:rPr>
        <w:t>,</w:t>
      </w:r>
      <w:r w:rsidRPr="3050D374">
        <w:rPr>
          <w:rFonts w:eastAsia="Calibri" w:cs="Arial"/>
        </w:rPr>
        <w:t xml:space="preserve"> wil</w:t>
      </w:r>
      <w:r w:rsidR="00AB7A2C" w:rsidRPr="3050D374">
        <w:rPr>
          <w:rFonts w:eastAsia="Calibri" w:cs="Arial"/>
        </w:rPr>
        <w:t>l</w:t>
      </w:r>
      <w:r w:rsidRPr="3050D374">
        <w:rPr>
          <w:rFonts w:eastAsia="Calibri" w:cs="Arial"/>
        </w:rPr>
        <w:t xml:space="preserve"> come to an end in </w:t>
      </w:r>
      <w:r w:rsidR="00EA1F70" w:rsidRPr="3050D374">
        <w:rPr>
          <w:rFonts w:eastAsia="Calibri" w:cs="Arial"/>
        </w:rPr>
        <w:t>2032</w:t>
      </w:r>
      <w:r w:rsidR="07656521" w:rsidRPr="3050D374">
        <w:rPr>
          <w:rFonts w:eastAsia="Calibri" w:cs="Arial"/>
        </w:rPr>
        <w:t xml:space="preserve">. </w:t>
      </w:r>
      <w:r w:rsidR="3ED5C219" w:rsidRPr="3050D374">
        <w:rPr>
          <w:rFonts w:eastAsia="Calibri" w:cs="Arial"/>
        </w:rPr>
        <w:t xml:space="preserve">There </w:t>
      </w:r>
      <w:r w:rsidR="12B3ADCF" w:rsidRPr="3050D374">
        <w:rPr>
          <w:rFonts w:eastAsia="Calibri" w:cs="Arial"/>
        </w:rPr>
        <w:t>is potential to</w:t>
      </w:r>
      <w:r w:rsidR="3ED5C219" w:rsidRPr="3050D374">
        <w:rPr>
          <w:rFonts w:eastAsia="Calibri" w:cs="Arial"/>
        </w:rPr>
        <w:t xml:space="preserve"> extend the housing investment programme</w:t>
      </w:r>
      <w:r w:rsidR="2A33E6C7" w:rsidRPr="3050D374">
        <w:rPr>
          <w:rFonts w:eastAsia="Calibri" w:cs="Arial"/>
        </w:rPr>
        <w:t xml:space="preserve"> to create more social housing in Oxford.</w:t>
      </w:r>
    </w:p>
    <w:p w14:paraId="6BF1D08A" w14:textId="7B20E715" w:rsidR="00BD1C7E" w:rsidRPr="00572DC5" w:rsidRDefault="384ACB15" w:rsidP="60EA432F">
      <w:pPr>
        <w:rPr>
          <w:rFonts w:eastAsia="Calibri" w:cs="Arial"/>
        </w:rPr>
      </w:pPr>
      <w:r w:rsidRPr="3050D374">
        <w:rPr>
          <w:rFonts w:eastAsia="Calibri" w:cs="Arial"/>
        </w:rPr>
        <w:t xml:space="preserve"> </w:t>
      </w:r>
    </w:p>
    <w:p w14:paraId="36DA2935" w14:textId="77777777" w:rsidR="00565B38" w:rsidRPr="00572DC5" w:rsidRDefault="000D4B92" w:rsidP="00590C95">
      <w:pPr>
        <w:ind w:left="709" w:hanging="709"/>
        <w:rPr>
          <w:rFonts w:eastAsia="Calibri" w:cs="Arial"/>
          <w:b/>
        </w:rPr>
      </w:pPr>
      <w:r w:rsidRPr="3050D374">
        <w:rPr>
          <w:rFonts w:eastAsia="Calibri" w:cs="Arial"/>
          <w:b/>
        </w:rPr>
        <w:t>Key Assumptions in the HRA Business Plan</w:t>
      </w:r>
    </w:p>
    <w:p w14:paraId="6A6BAAFF" w14:textId="77777777" w:rsidR="003362DC" w:rsidRPr="00572DC5" w:rsidRDefault="003362DC" w:rsidP="00590C95">
      <w:pPr>
        <w:ind w:left="709" w:hanging="709"/>
        <w:rPr>
          <w:rFonts w:eastAsia="Calibri" w:cs="Arial"/>
          <w:highlight w:val="yellow"/>
        </w:rPr>
      </w:pPr>
    </w:p>
    <w:p w14:paraId="7251F900" w14:textId="4C55A165" w:rsidR="00A1032D" w:rsidRPr="00572DC5" w:rsidRDefault="17F74399" w:rsidP="001F2BCF">
      <w:pPr>
        <w:pStyle w:val="ListParagraph"/>
        <w:numPr>
          <w:ilvl w:val="0"/>
          <w:numId w:val="52"/>
        </w:numPr>
        <w:spacing w:after="160" w:line="259" w:lineRule="auto"/>
        <w:ind w:left="426" w:hanging="426"/>
        <w:contextualSpacing/>
        <w:rPr>
          <w:rFonts w:eastAsia="Calibri" w:cs="Arial"/>
        </w:rPr>
      </w:pPr>
      <w:r w:rsidRPr="3050D374">
        <w:rPr>
          <w:rFonts w:eastAsia="Calibri" w:cs="Arial"/>
        </w:rPr>
        <w:t>The rent increases included in the HRA Business Plan are based on CPI+1% for the next 10 years.</w:t>
      </w:r>
    </w:p>
    <w:p w14:paraId="40B8BED0" w14:textId="0B211DA1" w:rsidR="00A1032D" w:rsidRPr="00572DC5" w:rsidRDefault="17F74399" w:rsidP="001F2BCF">
      <w:pPr>
        <w:pStyle w:val="ListParagraph"/>
        <w:numPr>
          <w:ilvl w:val="0"/>
          <w:numId w:val="52"/>
        </w:numPr>
        <w:spacing w:after="160" w:line="259" w:lineRule="auto"/>
        <w:ind w:left="450" w:hanging="450"/>
        <w:contextualSpacing/>
        <w:rPr>
          <w:rFonts w:eastAsia="Arial" w:cs="Arial"/>
          <w:color w:val="000000" w:themeColor="text1"/>
        </w:rPr>
      </w:pPr>
      <w:r w:rsidRPr="3050D374">
        <w:rPr>
          <w:rFonts w:eastAsia="Calibri" w:cs="Arial"/>
        </w:rPr>
        <w:t xml:space="preserve">An announcement regarding the proposals for rent convergence is due at the end of November </w:t>
      </w:r>
      <w:r w:rsidRPr="3050D374">
        <w:rPr>
          <w:rFonts w:eastAsia="Arial" w:cs="Arial"/>
          <w:color w:val="000000" w:themeColor="text1"/>
        </w:rPr>
        <w:t>The re-introduction of rent-convergence measures as per the Government’s consultation document “How to implement Social Rent convergence” published on 2</w:t>
      </w:r>
      <w:r w:rsidRPr="3050D374">
        <w:rPr>
          <w:rFonts w:eastAsia="Arial" w:cs="Arial"/>
          <w:color w:val="000000" w:themeColor="text1"/>
          <w:vertAlign w:val="superscript"/>
        </w:rPr>
        <w:t>nd</w:t>
      </w:r>
      <w:r w:rsidRPr="3050D374">
        <w:rPr>
          <w:rFonts w:eastAsia="Arial" w:cs="Arial"/>
          <w:color w:val="000000" w:themeColor="text1"/>
        </w:rPr>
        <w:t xml:space="preserve"> July 2025, would affect the following number of tenants and give rise to increased rental income for the HRA as follows:</w:t>
      </w:r>
    </w:p>
    <w:tbl>
      <w:tblPr>
        <w:tblStyle w:val="TableGrid"/>
        <w:tblW w:w="8789" w:type="dxa"/>
        <w:tblInd w:w="701"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6A0" w:firstRow="1" w:lastRow="0" w:firstColumn="1" w:lastColumn="0" w:noHBand="1" w:noVBand="1"/>
      </w:tblPr>
      <w:tblGrid>
        <w:gridCol w:w="2539"/>
        <w:gridCol w:w="2160"/>
        <w:gridCol w:w="2160"/>
        <w:gridCol w:w="1930"/>
      </w:tblGrid>
      <w:tr w:rsidR="002A51B8" w14:paraId="1B0D1A52" w14:textId="77777777">
        <w:trPr>
          <w:trHeight w:val="300"/>
        </w:trPr>
        <w:tc>
          <w:tcPr>
            <w:tcW w:w="8789" w:type="dxa"/>
            <w:gridSpan w:val="4"/>
            <w:shd w:val="clear" w:color="auto" w:fill="D9D9D9" w:themeFill="background1" w:themeFillShade="D9"/>
            <w:tcMar>
              <w:left w:w="105" w:type="dxa"/>
              <w:right w:w="105" w:type="dxa"/>
            </w:tcMar>
          </w:tcPr>
          <w:p w14:paraId="58E66DBF" w14:textId="39A16BC1" w:rsidR="002A51B8" w:rsidRPr="3050D374" w:rsidRDefault="00CA7F4B" w:rsidP="00CA7F4B">
            <w:pPr>
              <w:spacing w:after="120"/>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Table </w:t>
            </w:r>
            <w:r w:rsidR="009004FF">
              <w:rPr>
                <w:rFonts w:ascii="Calibri" w:eastAsia="Calibri" w:hAnsi="Calibri" w:cs="Calibri"/>
                <w:b/>
                <w:bCs/>
                <w:color w:val="000000" w:themeColor="text1"/>
                <w:sz w:val="22"/>
                <w:szCs w:val="22"/>
              </w:rPr>
              <w:t>8</w:t>
            </w:r>
            <w:r>
              <w:rPr>
                <w:rFonts w:ascii="Calibri" w:eastAsia="Calibri" w:hAnsi="Calibri" w:cs="Calibri"/>
                <w:b/>
                <w:bCs/>
                <w:color w:val="000000" w:themeColor="text1"/>
                <w:sz w:val="22"/>
                <w:szCs w:val="22"/>
              </w:rPr>
              <w:t xml:space="preserve"> : </w:t>
            </w:r>
            <w:r w:rsidR="007F0023">
              <w:rPr>
                <w:rFonts w:ascii="Calibri" w:eastAsia="Calibri" w:hAnsi="Calibri" w:cs="Calibri"/>
                <w:b/>
                <w:bCs/>
                <w:color w:val="000000" w:themeColor="text1"/>
                <w:sz w:val="22"/>
                <w:szCs w:val="22"/>
              </w:rPr>
              <w:t xml:space="preserve">Impact of </w:t>
            </w:r>
            <w:r w:rsidR="00BF41D9">
              <w:rPr>
                <w:rFonts w:ascii="Calibri" w:eastAsia="Calibri" w:hAnsi="Calibri" w:cs="Calibri"/>
                <w:b/>
                <w:bCs/>
                <w:color w:val="000000" w:themeColor="text1"/>
                <w:sz w:val="22"/>
                <w:szCs w:val="22"/>
              </w:rPr>
              <w:t>rental convergence</w:t>
            </w:r>
          </w:p>
        </w:tc>
      </w:tr>
      <w:tr w:rsidR="3050D374" w14:paraId="050AA0B7" w14:textId="77777777" w:rsidTr="002A51B8">
        <w:trPr>
          <w:trHeight w:val="300"/>
        </w:trPr>
        <w:tc>
          <w:tcPr>
            <w:tcW w:w="2539" w:type="dxa"/>
            <w:shd w:val="clear" w:color="auto" w:fill="D9D9D9" w:themeFill="background1" w:themeFillShade="D9"/>
            <w:tcMar>
              <w:left w:w="105" w:type="dxa"/>
              <w:right w:w="105" w:type="dxa"/>
            </w:tcMar>
          </w:tcPr>
          <w:p w14:paraId="5731A298" w14:textId="4DB3DEDE" w:rsidR="3050D374" w:rsidRDefault="3050D374" w:rsidP="3050D374">
            <w:pPr>
              <w:spacing w:after="120"/>
              <w:rPr>
                <w:rFonts w:ascii="Calibri" w:eastAsia="Calibri" w:hAnsi="Calibri" w:cs="Calibri"/>
                <w:color w:val="000000" w:themeColor="text1"/>
                <w:sz w:val="22"/>
                <w:szCs w:val="22"/>
              </w:rPr>
            </w:pPr>
            <w:r w:rsidRPr="3050D374">
              <w:rPr>
                <w:rFonts w:ascii="Calibri" w:eastAsia="Calibri" w:hAnsi="Calibri" w:cs="Calibri"/>
                <w:b/>
                <w:bCs/>
                <w:color w:val="000000" w:themeColor="text1"/>
                <w:sz w:val="22"/>
                <w:szCs w:val="22"/>
              </w:rPr>
              <w:t>Proposed Weekly Convergence Rate</w:t>
            </w:r>
          </w:p>
        </w:tc>
        <w:tc>
          <w:tcPr>
            <w:tcW w:w="2160" w:type="dxa"/>
            <w:shd w:val="clear" w:color="auto" w:fill="D9D9D9" w:themeFill="background1" w:themeFillShade="D9"/>
            <w:tcMar>
              <w:left w:w="105" w:type="dxa"/>
              <w:right w:w="105" w:type="dxa"/>
            </w:tcMar>
          </w:tcPr>
          <w:p w14:paraId="44C96DE8" w14:textId="6FC1AAC1" w:rsidR="3050D374" w:rsidRDefault="3050D374" w:rsidP="3050D374">
            <w:pPr>
              <w:spacing w:after="120"/>
              <w:jc w:val="center"/>
              <w:rPr>
                <w:rFonts w:ascii="Calibri" w:eastAsia="Calibri" w:hAnsi="Calibri" w:cs="Calibri"/>
                <w:color w:val="000000" w:themeColor="text1"/>
                <w:sz w:val="22"/>
                <w:szCs w:val="22"/>
              </w:rPr>
            </w:pPr>
            <w:r w:rsidRPr="3050D374">
              <w:rPr>
                <w:rFonts w:ascii="Calibri" w:eastAsia="Calibri" w:hAnsi="Calibri" w:cs="Calibri"/>
                <w:b/>
                <w:bCs/>
                <w:color w:val="000000" w:themeColor="text1"/>
                <w:sz w:val="22"/>
                <w:szCs w:val="22"/>
              </w:rPr>
              <w:t>Number of affected Tenants</w:t>
            </w:r>
          </w:p>
        </w:tc>
        <w:tc>
          <w:tcPr>
            <w:tcW w:w="2160" w:type="dxa"/>
            <w:shd w:val="clear" w:color="auto" w:fill="D9D9D9" w:themeFill="background1" w:themeFillShade="D9"/>
            <w:tcMar>
              <w:left w:w="105" w:type="dxa"/>
              <w:right w:w="105" w:type="dxa"/>
            </w:tcMar>
          </w:tcPr>
          <w:p w14:paraId="36A94272" w14:textId="29DB4DD7" w:rsidR="3050D374" w:rsidRDefault="3050D374" w:rsidP="3050D374">
            <w:pPr>
              <w:spacing w:after="120"/>
              <w:jc w:val="center"/>
              <w:rPr>
                <w:rFonts w:ascii="Calibri" w:eastAsia="Calibri" w:hAnsi="Calibri" w:cs="Calibri"/>
                <w:color w:val="000000" w:themeColor="text1"/>
                <w:sz w:val="22"/>
                <w:szCs w:val="22"/>
              </w:rPr>
            </w:pPr>
            <w:r w:rsidRPr="3050D374">
              <w:rPr>
                <w:rFonts w:ascii="Calibri" w:eastAsia="Calibri" w:hAnsi="Calibri" w:cs="Calibri"/>
                <w:b/>
                <w:bCs/>
                <w:color w:val="000000" w:themeColor="text1"/>
                <w:sz w:val="22"/>
                <w:szCs w:val="22"/>
              </w:rPr>
              <w:t>Weekly Additional Rental Income</w:t>
            </w:r>
          </w:p>
        </w:tc>
        <w:tc>
          <w:tcPr>
            <w:tcW w:w="1930" w:type="dxa"/>
            <w:shd w:val="clear" w:color="auto" w:fill="D9D9D9" w:themeFill="background1" w:themeFillShade="D9"/>
            <w:tcMar>
              <w:left w:w="105" w:type="dxa"/>
              <w:right w:w="105" w:type="dxa"/>
            </w:tcMar>
          </w:tcPr>
          <w:p w14:paraId="5C10041F" w14:textId="48A01BD5" w:rsidR="3050D374" w:rsidRDefault="3050D374" w:rsidP="3050D374">
            <w:pPr>
              <w:spacing w:after="120"/>
              <w:jc w:val="center"/>
              <w:rPr>
                <w:rFonts w:ascii="Calibri" w:eastAsia="Calibri" w:hAnsi="Calibri" w:cs="Calibri"/>
                <w:color w:val="000000" w:themeColor="text1"/>
                <w:sz w:val="22"/>
                <w:szCs w:val="22"/>
              </w:rPr>
            </w:pPr>
            <w:r w:rsidRPr="3050D374">
              <w:rPr>
                <w:rFonts w:ascii="Calibri" w:eastAsia="Calibri" w:hAnsi="Calibri" w:cs="Calibri"/>
                <w:b/>
                <w:bCs/>
                <w:color w:val="000000" w:themeColor="text1"/>
                <w:sz w:val="22"/>
                <w:szCs w:val="22"/>
              </w:rPr>
              <w:t>Annual Additional Rental Income</w:t>
            </w:r>
          </w:p>
        </w:tc>
      </w:tr>
      <w:tr w:rsidR="3050D374" w14:paraId="60A1A2BF" w14:textId="77777777" w:rsidTr="002A51B8">
        <w:trPr>
          <w:trHeight w:val="300"/>
        </w:trPr>
        <w:tc>
          <w:tcPr>
            <w:tcW w:w="2539" w:type="dxa"/>
            <w:tcMar>
              <w:left w:w="105" w:type="dxa"/>
              <w:right w:w="105" w:type="dxa"/>
            </w:tcMar>
          </w:tcPr>
          <w:p w14:paraId="3D1E21BA" w14:textId="0BB79F43" w:rsidR="3050D374" w:rsidRDefault="3050D374" w:rsidP="3050D374">
            <w:pPr>
              <w:spacing w:after="120"/>
              <w:rPr>
                <w:rFonts w:ascii="Calibri" w:eastAsia="Calibri" w:hAnsi="Calibri" w:cs="Calibri"/>
                <w:color w:val="000000" w:themeColor="text1"/>
                <w:sz w:val="22"/>
                <w:szCs w:val="22"/>
              </w:rPr>
            </w:pPr>
            <w:r w:rsidRPr="3050D374">
              <w:rPr>
                <w:rFonts w:ascii="Calibri" w:eastAsia="Calibri" w:hAnsi="Calibri" w:cs="Calibri"/>
                <w:color w:val="000000" w:themeColor="text1"/>
                <w:sz w:val="22"/>
                <w:szCs w:val="22"/>
              </w:rPr>
              <w:t>£1</w:t>
            </w:r>
          </w:p>
        </w:tc>
        <w:tc>
          <w:tcPr>
            <w:tcW w:w="2160" w:type="dxa"/>
            <w:tcMar>
              <w:left w:w="105" w:type="dxa"/>
              <w:right w:w="105" w:type="dxa"/>
            </w:tcMar>
          </w:tcPr>
          <w:p w14:paraId="3E1B2D1A" w14:textId="4E14AD62" w:rsidR="3050D374" w:rsidRDefault="3050D374" w:rsidP="3050D374">
            <w:pPr>
              <w:spacing w:after="120"/>
              <w:jc w:val="center"/>
              <w:rPr>
                <w:rFonts w:ascii="Calibri" w:eastAsia="Calibri" w:hAnsi="Calibri" w:cs="Calibri"/>
                <w:color w:val="000000" w:themeColor="text1"/>
                <w:sz w:val="22"/>
                <w:szCs w:val="22"/>
              </w:rPr>
            </w:pPr>
            <w:r w:rsidRPr="3050D374">
              <w:rPr>
                <w:rFonts w:ascii="Calibri" w:eastAsia="Calibri" w:hAnsi="Calibri" w:cs="Calibri"/>
                <w:color w:val="000000" w:themeColor="text1"/>
                <w:sz w:val="22"/>
                <w:szCs w:val="22"/>
              </w:rPr>
              <w:t>6,884</w:t>
            </w:r>
          </w:p>
        </w:tc>
        <w:tc>
          <w:tcPr>
            <w:tcW w:w="2160" w:type="dxa"/>
            <w:tcMar>
              <w:left w:w="105" w:type="dxa"/>
              <w:right w:w="105" w:type="dxa"/>
            </w:tcMar>
          </w:tcPr>
          <w:p w14:paraId="23C61924" w14:textId="05074583" w:rsidR="3050D374" w:rsidRDefault="3050D374" w:rsidP="3050D374">
            <w:pPr>
              <w:spacing w:after="120"/>
              <w:jc w:val="center"/>
              <w:rPr>
                <w:rFonts w:ascii="Calibri" w:eastAsia="Calibri" w:hAnsi="Calibri" w:cs="Calibri"/>
                <w:color w:val="000000" w:themeColor="text1"/>
                <w:sz w:val="22"/>
                <w:szCs w:val="22"/>
              </w:rPr>
            </w:pPr>
            <w:r w:rsidRPr="3050D374">
              <w:rPr>
                <w:rFonts w:ascii="Calibri" w:eastAsia="Calibri" w:hAnsi="Calibri" w:cs="Calibri"/>
                <w:color w:val="000000" w:themeColor="text1"/>
                <w:sz w:val="22"/>
                <w:szCs w:val="22"/>
              </w:rPr>
              <w:t>£6.875.04</w:t>
            </w:r>
          </w:p>
        </w:tc>
        <w:tc>
          <w:tcPr>
            <w:tcW w:w="1930" w:type="dxa"/>
            <w:tcMar>
              <w:left w:w="105" w:type="dxa"/>
              <w:right w:w="105" w:type="dxa"/>
            </w:tcMar>
          </w:tcPr>
          <w:p w14:paraId="2B1872E9" w14:textId="04237B4C" w:rsidR="3050D374" w:rsidRDefault="3050D374" w:rsidP="3050D374">
            <w:pPr>
              <w:spacing w:after="120"/>
              <w:jc w:val="center"/>
              <w:rPr>
                <w:rFonts w:ascii="Calibri" w:eastAsia="Calibri" w:hAnsi="Calibri" w:cs="Calibri"/>
                <w:color w:val="000000" w:themeColor="text1"/>
                <w:sz w:val="22"/>
                <w:szCs w:val="22"/>
              </w:rPr>
            </w:pPr>
            <w:r w:rsidRPr="3050D374">
              <w:rPr>
                <w:rFonts w:ascii="Calibri" w:eastAsia="Calibri" w:hAnsi="Calibri" w:cs="Calibri"/>
                <w:color w:val="000000" w:themeColor="text1"/>
                <w:sz w:val="22"/>
                <w:szCs w:val="22"/>
              </w:rPr>
              <w:t>£357,502.08</w:t>
            </w:r>
          </w:p>
        </w:tc>
      </w:tr>
      <w:tr w:rsidR="3050D374" w14:paraId="3A263EEF" w14:textId="77777777" w:rsidTr="00F90123">
        <w:trPr>
          <w:trHeight w:val="677"/>
        </w:trPr>
        <w:tc>
          <w:tcPr>
            <w:tcW w:w="2539" w:type="dxa"/>
            <w:tcMar>
              <w:left w:w="105" w:type="dxa"/>
              <w:right w:w="105" w:type="dxa"/>
            </w:tcMar>
          </w:tcPr>
          <w:p w14:paraId="5B3D32AB" w14:textId="21A90BF6" w:rsidR="3050D374" w:rsidRDefault="3050D374" w:rsidP="3050D374">
            <w:pPr>
              <w:spacing w:after="120"/>
              <w:rPr>
                <w:rFonts w:ascii="Calibri" w:eastAsia="Calibri" w:hAnsi="Calibri" w:cs="Calibri"/>
                <w:color w:val="000000" w:themeColor="text1"/>
                <w:sz w:val="22"/>
                <w:szCs w:val="22"/>
              </w:rPr>
            </w:pPr>
            <w:r w:rsidRPr="3050D374">
              <w:rPr>
                <w:rFonts w:ascii="Calibri" w:eastAsia="Calibri" w:hAnsi="Calibri" w:cs="Calibri"/>
                <w:color w:val="000000" w:themeColor="text1"/>
                <w:sz w:val="22"/>
                <w:szCs w:val="22"/>
              </w:rPr>
              <w:t>£2</w:t>
            </w:r>
          </w:p>
        </w:tc>
        <w:tc>
          <w:tcPr>
            <w:tcW w:w="2160" w:type="dxa"/>
            <w:tcMar>
              <w:left w:w="105" w:type="dxa"/>
              <w:right w:w="105" w:type="dxa"/>
            </w:tcMar>
          </w:tcPr>
          <w:p w14:paraId="707163B0" w14:textId="37B8A5E9" w:rsidR="3050D374" w:rsidRDefault="3050D374" w:rsidP="3050D374">
            <w:pPr>
              <w:spacing w:after="120"/>
              <w:jc w:val="center"/>
              <w:rPr>
                <w:rFonts w:ascii="Calibri" w:eastAsia="Calibri" w:hAnsi="Calibri" w:cs="Calibri"/>
                <w:color w:val="000000" w:themeColor="text1"/>
                <w:sz w:val="22"/>
                <w:szCs w:val="22"/>
              </w:rPr>
            </w:pPr>
            <w:r w:rsidRPr="3050D374">
              <w:rPr>
                <w:rFonts w:ascii="Calibri" w:eastAsia="Calibri" w:hAnsi="Calibri" w:cs="Calibri"/>
                <w:color w:val="000000" w:themeColor="text1"/>
                <w:sz w:val="22"/>
                <w:szCs w:val="22"/>
              </w:rPr>
              <w:t>6,884</w:t>
            </w:r>
          </w:p>
        </w:tc>
        <w:tc>
          <w:tcPr>
            <w:tcW w:w="2160" w:type="dxa"/>
            <w:tcMar>
              <w:left w:w="105" w:type="dxa"/>
              <w:right w:w="105" w:type="dxa"/>
            </w:tcMar>
          </w:tcPr>
          <w:p w14:paraId="4D5A38E5" w14:textId="0855CE56" w:rsidR="3050D374" w:rsidRDefault="3050D374" w:rsidP="3050D374">
            <w:pPr>
              <w:spacing w:after="120"/>
              <w:jc w:val="center"/>
              <w:rPr>
                <w:rFonts w:ascii="Calibri" w:eastAsia="Calibri" w:hAnsi="Calibri" w:cs="Calibri"/>
                <w:color w:val="000000" w:themeColor="text1"/>
                <w:sz w:val="22"/>
                <w:szCs w:val="22"/>
              </w:rPr>
            </w:pPr>
            <w:r w:rsidRPr="3050D374">
              <w:rPr>
                <w:rFonts w:ascii="Calibri" w:eastAsia="Calibri" w:hAnsi="Calibri" w:cs="Calibri"/>
                <w:color w:val="000000" w:themeColor="text1"/>
                <w:sz w:val="22"/>
                <w:szCs w:val="22"/>
              </w:rPr>
              <w:t>£13,745.08</w:t>
            </w:r>
          </w:p>
        </w:tc>
        <w:tc>
          <w:tcPr>
            <w:tcW w:w="1930" w:type="dxa"/>
            <w:tcMar>
              <w:left w:w="105" w:type="dxa"/>
              <w:right w:w="105" w:type="dxa"/>
            </w:tcMar>
          </w:tcPr>
          <w:p w14:paraId="28421554" w14:textId="7B6F5EFE" w:rsidR="3050D374" w:rsidRDefault="3050D374" w:rsidP="3050D374">
            <w:pPr>
              <w:spacing w:after="120"/>
              <w:jc w:val="center"/>
              <w:rPr>
                <w:rFonts w:ascii="Calibri" w:eastAsia="Calibri" w:hAnsi="Calibri" w:cs="Calibri"/>
                <w:color w:val="000000" w:themeColor="text1"/>
                <w:sz w:val="22"/>
                <w:szCs w:val="22"/>
              </w:rPr>
            </w:pPr>
            <w:r w:rsidRPr="3050D374">
              <w:rPr>
                <w:rFonts w:ascii="Calibri" w:eastAsia="Calibri" w:hAnsi="Calibri" w:cs="Calibri"/>
                <w:color w:val="000000" w:themeColor="text1"/>
                <w:sz w:val="22"/>
                <w:szCs w:val="22"/>
              </w:rPr>
              <w:t>£714,744.16</w:t>
            </w:r>
          </w:p>
        </w:tc>
      </w:tr>
    </w:tbl>
    <w:p w14:paraId="0A853BE9" w14:textId="13A6FD84" w:rsidR="00A1032D" w:rsidRPr="00572DC5" w:rsidRDefault="00A1032D" w:rsidP="3050D374">
      <w:pPr>
        <w:spacing w:after="160" w:line="259" w:lineRule="auto"/>
        <w:contextualSpacing/>
        <w:rPr>
          <w:rFonts w:cs="Arial"/>
        </w:rPr>
      </w:pPr>
    </w:p>
    <w:p w14:paraId="775EEFB9" w14:textId="2950BEC5" w:rsidR="00A1032D" w:rsidRPr="00572DC5" w:rsidRDefault="5AB76D25" w:rsidP="001F2BCF">
      <w:pPr>
        <w:pStyle w:val="ListParagraph"/>
        <w:numPr>
          <w:ilvl w:val="0"/>
          <w:numId w:val="52"/>
        </w:numPr>
        <w:spacing w:after="160" w:line="259" w:lineRule="auto"/>
        <w:ind w:left="426" w:hanging="426"/>
        <w:contextualSpacing/>
        <w:rPr>
          <w:rFonts w:cs="Arial"/>
        </w:rPr>
      </w:pPr>
      <w:r w:rsidRPr="3050D374">
        <w:rPr>
          <w:rFonts w:cs="Arial"/>
          <w:color w:val="242424"/>
          <w:shd w:val="clear" w:color="auto" w:fill="FFFFFF"/>
        </w:rPr>
        <w:t xml:space="preserve">The HRA BP assumes that it will continue to purchase the affordable housing from OCHL’s </w:t>
      </w:r>
      <w:r w:rsidR="006B1613">
        <w:rPr>
          <w:rFonts w:cs="Arial"/>
          <w:color w:val="242424"/>
          <w:shd w:val="clear" w:color="auto" w:fill="FFFFFF"/>
        </w:rPr>
        <w:t>8</w:t>
      </w:r>
      <w:r w:rsidR="27FE664C" w:rsidRPr="3050D374">
        <w:rPr>
          <w:rFonts w:cs="Arial"/>
          <w:color w:val="242424"/>
          <w:shd w:val="clear" w:color="auto" w:fill="FFFFFF"/>
        </w:rPr>
        <w:t>-</w:t>
      </w:r>
      <w:r w:rsidRPr="3050D374">
        <w:rPr>
          <w:rFonts w:cs="Arial"/>
          <w:color w:val="242424"/>
          <w:shd w:val="clear" w:color="auto" w:fill="FFFFFF"/>
        </w:rPr>
        <w:t xml:space="preserve">year development </w:t>
      </w:r>
      <w:r w:rsidRPr="00A4691C">
        <w:rPr>
          <w:rFonts w:cs="Arial"/>
          <w:color w:val="242424"/>
        </w:rPr>
        <w:t>programme 1,</w:t>
      </w:r>
      <w:r w:rsidR="0033297C" w:rsidRPr="00A4691C">
        <w:rPr>
          <w:rFonts w:cs="Arial"/>
          <w:color w:val="242424"/>
        </w:rPr>
        <w:t>200</w:t>
      </w:r>
      <w:r w:rsidRPr="00A4691C">
        <w:rPr>
          <w:rFonts w:cs="Arial"/>
          <w:color w:val="242424"/>
        </w:rPr>
        <w:t xml:space="preserve"> properties</w:t>
      </w:r>
      <w:r w:rsidRPr="3050D374">
        <w:rPr>
          <w:rFonts w:cs="Arial"/>
          <w:color w:val="242424"/>
          <w:shd w:val="clear" w:color="auto" w:fill="FFFFFF"/>
        </w:rPr>
        <w:t xml:space="preserve"> within a gross overall budget envelope for all years of £452m before grant and shared ownership sales. The HRA purchases such social dwellings from OCHL based on a set of ‘financial viability indicators agreed with the Councils Section 151 Officer as follows:</w:t>
      </w:r>
    </w:p>
    <w:p w14:paraId="74976726" w14:textId="101F92C8" w:rsidR="007444C0" w:rsidRPr="00572DC5" w:rsidRDefault="00A1032D" w:rsidP="00A1032D">
      <w:pPr>
        <w:pStyle w:val="ListParagraph"/>
        <w:spacing w:after="160" w:line="259" w:lineRule="auto"/>
        <w:ind w:left="1069"/>
        <w:contextualSpacing/>
        <w:rPr>
          <w:rFonts w:cs="Arial"/>
        </w:rPr>
      </w:pPr>
      <w:r w:rsidRPr="3050D374">
        <w:rPr>
          <w:rFonts w:cs="Arial"/>
        </w:rPr>
        <w:t xml:space="preserve"> </w:t>
      </w:r>
    </w:p>
    <w:p w14:paraId="6F5D1E47" w14:textId="77777777" w:rsidR="003362DC" w:rsidRPr="00572DC5" w:rsidRDefault="003362DC" w:rsidP="00712800">
      <w:pPr>
        <w:pStyle w:val="ListParagraph"/>
        <w:numPr>
          <w:ilvl w:val="0"/>
          <w:numId w:val="15"/>
        </w:numPr>
        <w:ind w:left="1985" w:hanging="425"/>
        <w:rPr>
          <w:rFonts w:eastAsia="Calibri" w:cs="Arial"/>
        </w:rPr>
      </w:pPr>
      <w:r w:rsidRPr="13A39E62">
        <w:rPr>
          <w:rFonts w:eastAsia="Calibri" w:cs="Arial"/>
        </w:rPr>
        <w:t xml:space="preserve">Net present value </w:t>
      </w:r>
      <w:r w:rsidR="003960A7" w:rsidRPr="13A39E62">
        <w:rPr>
          <w:rFonts w:eastAsia="Calibri" w:cs="Arial"/>
        </w:rPr>
        <w:t>(NPV)</w:t>
      </w:r>
      <w:r w:rsidRPr="13A39E62">
        <w:rPr>
          <w:rFonts w:eastAsia="Calibri" w:cs="Arial"/>
        </w:rPr>
        <w:t xml:space="preserve">– positive over a </w:t>
      </w:r>
      <w:r w:rsidR="004673C0" w:rsidRPr="13A39E62">
        <w:rPr>
          <w:rFonts w:eastAsia="Calibri" w:cs="Arial"/>
        </w:rPr>
        <w:t>7</w:t>
      </w:r>
      <w:r w:rsidRPr="13A39E62">
        <w:rPr>
          <w:rFonts w:eastAsia="Calibri" w:cs="Arial"/>
        </w:rPr>
        <w:t>0 year period</w:t>
      </w:r>
    </w:p>
    <w:p w14:paraId="625F8533" w14:textId="77777777" w:rsidR="003362DC" w:rsidRPr="00572DC5" w:rsidRDefault="003362DC" w:rsidP="00712800">
      <w:pPr>
        <w:pStyle w:val="ListParagraph"/>
        <w:numPr>
          <w:ilvl w:val="0"/>
          <w:numId w:val="15"/>
        </w:numPr>
        <w:ind w:left="1985" w:hanging="425"/>
        <w:rPr>
          <w:rFonts w:eastAsia="Calibri" w:cs="Arial"/>
        </w:rPr>
      </w:pPr>
      <w:r w:rsidRPr="13A39E62">
        <w:rPr>
          <w:rFonts w:eastAsia="Calibri" w:cs="Arial"/>
        </w:rPr>
        <w:t xml:space="preserve">Payback </w:t>
      </w:r>
      <w:r w:rsidR="004673C0" w:rsidRPr="13A39E62">
        <w:rPr>
          <w:rFonts w:eastAsia="Calibri" w:cs="Arial"/>
        </w:rPr>
        <w:t>–</w:t>
      </w:r>
      <w:r w:rsidRPr="13A39E62">
        <w:rPr>
          <w:rFonts w:eastAsia="Calibri" w:cs="Arial"/>
        </w:rPr>
        <w:t xml:space="preserve"> </w:t>
      </w:r>
      <w:r w:rsidR="004673C0" w:rsidRPr="13A39E62">
        <w:rPr>
          <w:rFonts w:eastAsia="Calibri" w:cs="Arial"/>
        </w:rPr>
        <w:t>70 years or under</w:t>
      </w:r>
    </w:p>
    <w:p w14:paraId="0585D5AA" w14:textId="77777777" w:rsidR="003362DC" w:rsidRPr="00572DC5" w:rsidRDefault="003362DC" w:rsidP="00712800">
      <w:pPr>
        <w:pStyle w:val="ListParagraph"/>
        <w:numPr>
          <w:ilvl w:val="0"/>
          <w:numId w:val="15"/>
        </w:numPr>
        <w:ind w:left="1985" w:hanging="425"/>
        <w:rPr>
          <w:rFonts w:eastAsia="Calibri" w:cs="Arial"/>
        </w:rPr>
      </w:pPr>
      <w:r w:rsidRPr="13A39E62">
        <w:rPr>
          <w:rFonts w:eastAsia="Calibri" w:cs="Arial"/>
        </w:rPr>
        <w:lastRenderedPageBreak/>
        <w:t xml:space="preserve">Internal rate of return </w:t>
      </w:r>
      <w:r w:rsidR="003960A7" w:rsidRPr="13A39E62">
        <w:rPr>
          <w:rFonts w:eastAsia="Calibri" w:cs="Arial"/>
        </w:rPr>
        <w:t>IRR -</w:t>
      </w:r>
      <w:r w:rsidRPr="13A39E62">
        <w:rPr>
          <w:rFonts w:eastAsia="Calibri" w:cs="Arial"/>
        </w:rPr>
        <w:t>(the discount rate which equates the N</w:t>
      </w:r>
      <w:r w:rsidR="00D31F40" w:rsidRPr="13A39E62">
        <w:rPr>
          <w:rFonts w:eastAsia="Calibri" w:cs="Arial"/>
        </w:rPr>
        <w:t xml:space="preserve">et </w:t>
      </w:r>
      <w:r w:rsidRPr="13A39E62">
        <w:rPr>
          <w:rFonts w:eastAsia="Calibri" w:cs="Arial"/>
        </w:rPr>
        <w:t>P</w:t>
      </w:r>
      <w:r w:rsidR="00D31F40" w:rsidRPr="13A39E62">
        <w:rPr>
          <w:rFonts w:eastAsia="Calibri" w:cs="Arial"/>
        </w:rPr>
        <w:t xml:space="preserve">resent </w:t>
      </w:r>
      <w:r w:rsidRPr="13A39E62">
        <w:rPr>
          <w:rFonts w:eastAsia="Calibri" w:cs="Arial"/>
        </w:rPr>
        <w:t>V</w:t>
      </w:r>
      <w:r w:rsidR="00D31F40" w:rsidRPr="13A39E62">
        <w:rPr>
          <w:rFonts w:eastAsia="Calibri" w:cs="Arial"/>
        </w:rPr>
        <w:t>alue</w:t>
      </w:r>
      <w:r w:rsidRPr="13A39E62">
        <w:rPr>
          <w:rFonts w:eastAsia="Calibri" w:cs="Arial"/>
        </w:rPr>
        <w:t xml:space="preserve"> to zero) of 3%</w:t>
      </w:r>
    </w:p>
    <w:p w14:paraId="7A628FF4" w14:textId="77777777" w:rsidR="003362DC" w:rsidRPr="00572DC5" w:rsidRDefault="003362DC" w:rsidP="009B6A85">
      <w:pPr>
        <w:rPr>
          <w:rFonts w:eastAsia="Calibri" w:cs="Arial"/>
        </w:rPr>
      </w:pPr>
    </w:p>
    <w:p w14:paraId="3239827F" w14:textId="7C62F3B2" w:rsidR="005D36C9" w:rsidRPr="00572DC5" w:rsidRDefault="47E64506" w:rsidP="00851939">
      <w:pPr>
        <w:pStyle w:val="ListParagraph"/>
        <w:numPr>
          <w:ilvl w:val="0"/>
          <w:numId w:val="53"/>
        </w:numPr>
        <w:rPr>
          <w:rFonts w:eastAsia="Calibri" w:cs="Arial"/>
        </w:rPr>
      </w:pPr>
      <w:r w:rsidRPr="13A39E62">
        <w:rPr>
          <w:rFonts w:eastAsia="Calibri" w:cs="Arial"/>
        </w:rPr>
        <w:t>Th</w:t>
      </w:r>
      <w:r w:rsidR="4DD5813F" w:rsidRPr="13A39E62">
        <w:rPr>
          <w:rFonts w:eastAsia="Calibri" w:cs="Arial"/>
        </w:rPr>
        <w:t xml:space="preserve">ese criteria are comparable to the Housing Company of </w:t>
      </w:r>
      <w:r w:rsidR="41C42EE1" w:rsidRPr="13A39E62">
        <w:rPr>
          <w:rFonts w:eastAsia="Calibri" w:cs="Arial"/>
        </w:rPr>
        <w:t xml:space="preserve">a </w:t>
      </w:r>
      <w:r w:rsidR="4DD5813F" w:rsidRPr="13A39E62">
        <w:rPr>
          <w:rFonts w:eastAsia="Calibri" w:cs="Arial"/>
        </w:rPr>
        <w:t>positive</w:t>
      </w:r>
      <w:r w:rsidR="41C42EE1" w:rsidRPr="13A39E62">
        <w:rPr>
          <w:rFonts w:eastAsia="Calibri" w:cs="Arial"/>
        </w:rPr>
        <w:t xml:space="preserve"> NPV over 40 years</w:t>
      </w:r>
      <w:r w:rsidR="4DD5813F" w:rsidRPr="13A39E62">
        <w:rPr>
          <w:rFonts w:eastAsia="Calibri" w:cs="Arial"/>
        </w:rPr>
        <w:t>, 40</w:t>
      </w:r>
      <w:r w:rsidR="215B0A47" w:rsidRPr="13A39E62">
        <w:rPr>
          <w:rFonts w:eastAsia="Calibri" w:cs="Arial"/>
        </w:rPr>
        <w:t>-</w:t>
      </w:r>
      <w:r w:rsidR="4DD5813F" w:rsidRPr="13A39E62">
        <w:rPr>
          <w:rFonts w:eastAsia="Calibri" w:cs="Arial"/>
        </w:rPr>
        <w:t>year</w:t>
      </w:r>
      <w:r w:rsidR="41C42EE1" w:rsidRPr="13A39E62">
        <w:rPr>
          <w:rFonts w:eastAsia="Calibri" w:cs="Arial"/>
        </w:rPr>
        <w:t xml:space="preserve"> payback</w:t>
      </w:r>
      <w:r w:rsidR="4DD5813F" w:rsidRPr="13A39E62">
        <w:rPr>
          <w:rFonts w:eastAsia="Calibri" w:cs="Arial"/>
        </w:rPr>
        <w:t xml:space="preserve"> and 4%</w:t>
      </w:r>
      <w:r w:rsidR="41C42EE1" w:rsidRPr="13A39E62">
        <w:rPr>
          <w:rFonts w:eastAsia="Calibri" w:cs="Arial"/>
        </w:rPr>
        <w:t xml:space="preserve"> IRR</w:t>
      </w:r>
      <w:r w:rsidR="4DD5813F" w:rsidRPr="13A39E62">
        <w:rPr>
          <w:rFonts w:eastAsia="Calibri" w:cs="Arial"/>
        </w:rPr>
        <w:t xml:space="preserve">. The HRA criteria are less favourable to reflect the nature of the social dwellings being purchased. </w:t>
      </w:r>
      <w:r w:rsidRPr="13A39E62">
        <w:rPr>
          <w:rFonts w:eastAsia="Calibri" w:cs="Arial"/>
        </w:rPr>
        <w:t xml:space="preserve"> </w:t>
      </w:r>
    </w:p>
    <w:p w14:paraId="6350098B" w14:textId="77777777" w:rsidR="0091324C" w:rsidRPr="00572DC5" w:rsidRDefault="0091324C" w:rsidP="00F15D28">
      <w:pPr>
        <w:pStyle w:val="ListParagraph"/>
        <w:ind w:left="709" w:hanging="709"/>
        <w:rPr>
          <w:rFonts w:eastAsia="Calibri" w:cs="Arial"/>
          <w:highlight w:val="yellow"/>
        </w:rPr>
      </w:pPr>
    </w:p>
    <w:p w14:paraId="2ACD185E" w14:textId="77777777" w:rsidR="00B00CF9" w:rsidRPr="00572DC5" w:rsidRDefault="31DA7BA0" w:rsidP="00851939">
      <w:pPr>
        <w:pStyle w:val="ListParagraph"/>
        <w:numPr>
          <w:ilvl w:val="0"/>
          <w:numId w:val="53"/>
        </w:numPr>
        <w:ind w:left="426" w:hanging="426"/>
        <w:rPr>
          <w:rFonts w:eastAsia="Calibri" w:cs="Arial"/>
        </w:rPr>
      </w:pPr>
      <w:r w:rsidRPr="3050D374">
        <w:rPr>
          <w:rFonts w:eastAsia="Calibri" w:cs="Arial"/>
        </w:rPr>
        <w:t xml:space="preserve">The debt profile of the HRA </w:t>
      </w:r>
      <w:r w:rsidR="095696F6" w:rsidRPr="3050D374">
        <w:rPr>
          <w:rFonts w:eastAsia="Calibri" w:cs="Arial"/>
        </w:rPr>
        <w:t xml:space="preserve">together with the resulting HRA working balance over the next </w:t>
      </w:r>
      <w:r w:rsidR="512ADD19" w:rsidRPr="3050D374">
        <w:rPr>
          <w:rFonts w:eastAsia="Calibri" w:cs="Arial"/>
        </w:rPr>
        <w:t xml:space="preserve">few </w:t>
      </w:r>
      <w:r w:rsidR="1F2437CE" w:rsidRPr="3050D374">
        <w:rPr>
          <w:rFonts w:eastAsia="Calibri" w:cs="Arial"/>
        </w:rPr>
        <w:t>years</w:t>
      </w:r>
      <w:r w:rsidR="512ADD19" w:rsidRPr="3050D374">
        <w:rPr>
          <w:rFonts w:eastAsia="Calibri" w:cs="Arial"/>
        </w:rPr>
        <w:t xml:space="preserve"> </w:t>
      </w:r>
      <w:r w:rsidR="095696F6" w:rsidRPr="3050D374">
        <w:rPr>
          <w:rFonts w:eastAsia="Calibri" w:cs="Arial"/>
        </w:rPr>
        <w:t>is shown as follows:</w:t>
      </w:r>
    </w:p>
    <w:p w14:paraId="1D3C94CD" w14:textId="17039101" w:rsidR="12B5E433" w:rsidRPr="00572DC5" w:rsidRDefault="12B5E433" w:rsidP="3050D374">
      <w:pPr>
        <w:ind w:left="709"/>
        <w:rPr>
          <w:rFonts w:eastAsia="Calibri" w:cs="Arial"/>
        </w:rPr>
      </w:pPr>
    </w:p>
    <w:tbl>
      <w:tblPr>
        <w:tblStyle w:val="TableGrid"/>
        <w:tblW w:w="8771" w:type="dxa"/>
        <w:tblInd w:w="704" w:type="dxa"/>
        <w:tblLook w:val="04A0" w:firstRow="1" w:lastRow="0" w:firstColumn="1" w:lastColumn="0" w:noHBand="0" w:noVBand="1"/>
      </w:tblPr>
      <w:tblGrid>
        <w:gridCol w:w="3150"/>
        <w:gridCol w:w="2973"/>
        <w:gridCol w:w="2648"/>
      </w:tblGrid>
      <w:tr w:rsidR="00092035" w:rsidRPr="00572DC5" w14:paraId="12334D36" w14:textId="77777777" w:rsidTr="3050D374">
        <w:tc>
          <w:tcPr>
            <w:tcW w:w="8771" w:type="dxa"/>
            <w:gridSpan w:val="3"/>
            <w:shd w:val="clear" w:color="auto" w:fill="A6A6A6" w:themeFill="background1" w:themeFillShade="A6"/>
          </w:tcPr>
          <w:p w14:paraId="5F105FAD" w14:textId="3F9A7CAA" w:rsidR="00092035" w:rsidRPr="00572DC5" w:rsidRDefault="1278DF05" w:rsidP="60EA432F">
            <w:pPr>
              <w:pStyle w:val="ListParagraph"/>
              <w:ind w:left="630" w:hanging="630"/>
              <w:rPr>
                <w:rFonts w:eastAsia="Calibri" w:cs="Arial"/>
                <w:b/>
              </w:rPr>
            </w:pPr>
            <w:r w:rsidRPr="3050D374">
              <w:rPr>
                <w:rFonts w:eastAsia="Calibri" w:cs="Arial"/>
                <w:b/>
              </w:rPr>
              <w:t xml:space="preserve">Table </w:t>
            </w:r>
            <w:r w:rsidR="009004FF">
              <w:rPr>
                <w:rFonts w:eastAsia="Calibri" w:cs="Arial"/>
                <w:b/>
              </w:rPr>
              <w:t>9</w:t>
            </w:r>
            <w:r w:rsidR="5C2BA450" w:rsidRPr="3050D374">
              <w:rPr>
                <w:rFonts w:eastAsia="Calibri" w:cs="Arial"/>
                <w:b/>
              </w:rPr>
              <w:t xml:space="preserve"> :</w:t>
            </w:r>
            <w:r w:rsidR="4882EB39" w:rsidRPr="3050D374">
              <w:rPr>
                <w:rFonts w:eastAsia="Calibri" w:cs="Arial"/>
                <w:b/>
              </w:rPr>
              <w:t xml:space="preserve"> HRA Outstanding loans and Working Balances</w:t>
            </w:r>
          </w:p>
        </w:tc>
      </w:tr>
      <w:tr w:rsidR="00092035" w:rsidRPr="00572DC5" w14:paraId="6460D1BA" w14:textId="77777777" w:rsidTr="3050D374">
        <w:tc>
          <w:tcPr>
            <w:tcW w:w="3150" w:type="dxa"/>
            <w:shd w:val="clear" w:color="auto" w:fill="A6A6A6" w:themeFill="background1" w:themeFillShade="A6"/>
          </w:tcPr>
          <w:p w14:paraId="5525D088" w14:textId="77777777" w:rsidR="00092035" w:rsidRPr="00572DC5" w:rsidRDefault="00092035" w:rsidP="007C287E">
            <w:pPr>
              <w:pStyle w:val="ListParagraph"/>
              <w:ind w:left="630" w:hanging="630"/>
              <w:rPr>
                <w:rFonts w:eastAsia="Calibri" w:cs="Arial"/>
                <w:b/>
              </w:rPr>
            </w:pPr>
          </w:p>
        </w:tc>
        <w:tc>
          <w:tcPr>
            <w:tcW w:w="2973" w:type="dxa"/>
            <w:shd w:val="clear" w:color="auto" w:fill="A6A6A6" w:themeFill="background1" w:themeFillShade="A6"/>
          </w:tcPr>
          <w:p w14:paraId="26BDC8ED" w14:textId="07FAB4C7" w:rsidR="00092035" w:rsidRPr="00572DC5" w:rsidRDefault="00092035" w:rsidP="3050D374">
            <w:pPr>
              <w:pStyle w:val="ListParagraph"/>
              <w:ind w:left="630" w:hanging="630"/>
              <w:jc w:val="center"/>
              <w:rPr>
                <w:rFonts w:eastAsia="Calibri" w:cs="Arial"/>
                <w:b/>
              </w:rPr>
            </w:pPr>
            <w:r w:rsidRPr="3050D374">
              <w:rPr>
                <w:rFonts w:eastAsia="Calibri" w:cs="Arial"/>
                <w:b/>
              </w:rPr>
              <w:t>Closing Loan Balance</w:t>
            </w:r>
          </w:p>
        </w:tc>
        <w:tc>
          <w:tcPr>
            <w:tcW w:w="2648" w:type="dxa"/>
            <w:shd w:val="clear" w:color="auto" w:fill="A6A6A6" w:themeFill="background1" w:themeFillShade="A6"/>
          </w:tcPr>
          <w:p w14:paraId="59D1E591" w14:textId="77777777" w:rsidR="00092035" w:rsidRPr="00572DC5" w:rsidRDefault="00092035" w:rsidP="007C287E">
            <w:pPr>
              <w:pStyle w:val="ListParagraph"/>
              <w:ind w:left="0"/>
              <w:jc w:val="center"/>
              <w:rPr>
                <w:rFonts w:eastAsia="Calibri" w:cs="Arial"/>
                <w:b/>
              </w:rPr>
            </w:pPr>
            <w:r w:rsidRPr="3050D374">
              <w:rPr>
                <w:rFonts w:eastAsia="Calibri" w:cs="Arial"/>
                <w:b/>
              </w:rPr>
              <w:t>Working Balance</w:t>
            </w:r>
          </w:p>
        </w:tc>
      </w:tr>
      <w:tr w:rsidR="00092035" w:rsidRPr="00572DC5" w14:paraId="0DB6CC9D" w14:textId="77777777" w:rsidTr="3050D374">
        <w:tc>
          <w:tcPr>
            <w:tcW w:w="3150" w:type="dxa"/>
            <w:shd w:val="clear" w:color="auto" w:fill="A6A6A6" w:themeFill="background1" w:themeFillShade="A6"/>
          </w:tcPr>
          <w:p w14:paraId="715AB58B" w14:textId="77777777" w:rsidR="00092035" w:rsidRPr="00572DC5" w:rsidRDefault="00092035" w:rsidP="007C287E">
            <w:pPr>
              <w:pStyle w:val="ListParagraph"/>
              <w:ind w:left="630" w:hanging="630"/>
              <w:rPr>
                <w:rFonts w:eastAsia="Calibri" w:cs="Arial"/>
                <w:b/>
              </w:rPr>
            </w:pPr>
          </w:p>
        </w:tc>
        <w:tc>
          <w:tcPr>
            <w:tcW w:w="2973" w:type="dxa"/>
            <w:shd w:val="clear" w:color="auto" w:fill="A6A6A6" w:themeFill="background1" w:themeFillShade="A6"/>
          </w:tcPr>
          <w:p w14:paraId="3FF381B1" w14:textId="77777777" w:rsidR="00092035" w:rsidRPr="00572DC5" w:rsidRDefault="00092035" w:rsidP="007C287E">
            <w:pPr>
              <w:pStyle w:val="ListParagraph"/>
              <w:ind w:left="630" w:hanging="630"/>
              <w:jc w:val="center"/>
              <w:rPr>
                <w:rFonts w:eastAsia="Calibri" w:cs="Arial"/>
                <w:b/>
              </w:rPr>
            </w:pPr>
            <w:r w:rsidRPr="3050D374">
              <w:rPr>
                <w:rFonts w:eastAsia="Calibri" w:cs="Arial"/>
                <w:b/>
              </w:rPr>
              <w:t>£000’s</w:t>
            </w:r>
          </w:p>
        </w:tc>
        <w:tc>
          <w:tcPr>
            <w:tcW w:w="2648" w:type="dxa"/>
            <w:shd w:val="clear" w:color="auto" w:fill="A6A6A6" w:themeFill="background1" w:themeFillShade="A6"/>
          </w:tcPr>
          <w:p w14:paraId="7BC3483A" w14:textId="77777777" w:rsidR="00092035" w:rsidRPr="00572DC5" w:rsidRDefault="00092035" w:rsidP="007C287E">
            <w:pPr>
              <w:pStyle w:val="ListParagraph"/>
              <w:ind w:left="630" w:hanging="630"/>
              <w:jc w:val="center"/>
              <w:rPr>
                <w:rFonts w:eastAsia="Calibri" w:cs="Arial"/>
                <w:b/>
              </w:rPr>
            </w:pPr>
            <w:r w:rsidRPr="3050D374">
              <w:rPr>
                <w:rFonts w:eastAsia="Calibri" w:cs="Arial"/>
                <w:b/>
              </w:rPr>
              <w:t>£000’s</w:t>
            </w:r>
          </w:p>
        </w:tc>
      </w:tr>
      <w:tr w:rsidR="005243A5" w:rsidRPr="00572DC5" w14:paraId="45603A3E" w14:textId="77777777" w:rsidTr="3050D374">
        <w:tc>
          <w:tcPr>
            <w:tcW w:w="3150" w:type="dxa"/>
          </w:tcPr>
          <w:p w14:paraId="47284293" w14:textId="019B830A" w:rsidR="3050D374" w:rsidRPr="3050D374" w:rsidRDefault="3050D374" w:rsidP="3050D374">
            <w:pPr>
              <w:pStyle w:val="ListParagraph"/>
              <w:ind w:left="630" w:hanging="630"/>
              <w:rPr>
                <w:rFonts w:eastAsia="Calibri" w:cs="Arial"/>
              </w:rPr>
            </w:pPr>
            <w:r w:rsidRPr="3050D374">
              <w:rPr>
                <w:rFonts w:eastAsia="Calibri" w:cs="Arial"/>
              </w:rPr>
              <w:t>2026/27</w:t>
            </w:r>
          </w:p>
        </w:tc>
        <w:tc>
          <w:tcPr>
            <w:tcW w:w="2973" w:type="dxa"/>
            <w:tcBorders>
              <w:top w:val="single" w:sz="4" w:space="0" w:color="auto"/>
              <w:left w:val="single" w:sz="4" w:space="0" w:color="auto"/>
              <w:bottom w:val="single" w:sz="4" w:space="0" w:color="auto"/>
              <w:right w:val="nil"/>
            </w:tcBorders>
            <w:vAlign w:val="bottom"/>
          </w:tcPr>
          <w:p w14:paraId="77E3384E" w14:textId="1C1A5657" w:rsidR="005243A5" w:rsidRPr="00572DC5" w:rsidRDefault="64445B43" w:rsidP="3050D374">
            <w:pPr>
              <w:pStyle w:val="ListParagraph"/>
              <w:spacing w:line="259" w:lineRule="auto"/>
              <w:ind w:left="0"/>
              <w:jc w:val="right"/>
              <w:rPr>
                <w:rFonts w:eastAsia="Calibri" w:cs="Arial"/>
                <w:color w:val="000000" w:themeColor="text1"/>
                <w:sz w:val="22"/>
                <w:szCs w:val="22"/>
              </w:rPr>
            </w:pPr>
            <w:r w:rsidRPr="3050D374">
              <w:rPr>
                <w:rFonts w:cs="Arial"/>
                <w:color w:val="000000" w:themeColor="text1"/>
                <w:sz w:val="22"/>
                <w:szCs w:val="22"/>
              </w:rPr>
              <w:t>44</w:t>
            </w:r>
            <w:r w:rsidR="3D4EFE3C" w:rsidRPr="3050D374">
              <w:rPr>
                <w:rFonts w:cs="Arial"/>
                <w:color w:val="000000" w:themeColor="text1"/>
                <w:sz w:val="22"/>
                <w:szCs w:val="22"/>
              </w:rPr>
              <w:t>9</w:t>
            </w:r>
            <w:r w:rsidRPr="3050D374">
              <w:rPr>
                <w:rFonts w:cs="Arial"/>
                <w:color w:val="000000" w:themeColor="text1"/>
                <w:sz w:val="22"/>
                <w:szCs w:val="22"/>
              </w:rPr>
              <w:t>,079</w:t>
            </w:r>
          </w:p>
        </w:tc>
        <w:tc>
          <w:tcPr>
            <w:tcW w:w="2648" w:type="dxa"/>
            <w:tcBorders>
              <w:top w:val="single" w:sz="4" w:space="0" w:color="auto"/>
              <w:left w:val="single" w:sz="4" w:space="0" w:color="auto"/>
              <w:bottom w:val="single" w:sz="4" w:space="0" w:color="auto"/>
              <w:right w:val="single" w:sz="4" w:space="0" w:color="auto"/>
            </w:tcBorders>
            <w:vAlign w:val="bottom"/>
          </w:tcPr>
          <w:p w14:paraId="62F3FDE6" w14:textId="682BF128" w:rsidR="005243A5" w:rsidRPr="00572DC5" w:rsidRDefault="5B96D915" w:rsidP="005243A5">
            <w:pPr>
              <w:pStyle w:val="ListParagraph"/>
              <w:ind w:left="0"/>
              <w:jc w:val="right"/>
              <w:rPr>
                <w:rFonts w:eastAsia="Calibri" w:cs="Arial"/>
              </w:rPr>
            </w:pPr>
            <w:r w:rsidRPr="3050D374">
              <w:rPr>
                <w:rFonts w:cs="Arial"/>
                <w:color w:val="000000" w:themeColor="text1"/>
                <w:sz w:val="22"/>
                <w:szCs w:val="22"/>
              </w:rPr>
              <w:t>4</w:t>
            </w:r>
            <w:r w:rsidR="7768FCC0" w:rsidRPr="3050D374">
              <w:rPr>
                <w:rFonts w:cs="Arial"/>
                <w:color w:val="000000" w:themeColor="text1"/>
                <w:sz w:val="22"/>
                <w:szCs w:val="22"/>
              </w:rPr>
              <w:t>,</w:t>
            </w:r>
            <w:r w:rsidR="544C859D" w:rsidRPr="3050D374">
              <w:rPr>
                <w:rFonts w:cs="Arial"/>
                <w:color w:val="000000" w:themeColor="text1"/>
                <w:sz w:val="22"/>
                <w:szCs w:val="22"/>
              </w:rPr>
              <w:t>278</w:t>
            </w:r>
            <w:r w:rsidR="2B4E5CFC" w:rsidRPr="3050D374">
              <w:rPr>
                <w:rFonts w:cs="Arial"/>
                <w:color w:val="000000" w:themeColor="text1"/>
                <w:sz w:val="22"/>
                <w:szCs w:val="22"/>
              </w:rPr>
              <w:t xml:space="preserve"> </w:t>
            </w:r>
          </w:p>
        </w:tc>
      </w:tr>
      <w:tr w:rsidR="005243A5" w:rsidRPr="00572DC5" w14:paraId="6540EF6A" w14:textId="77777777" w:rsidTr="3050D374">
        <w:tc>
          <w:tcPr>
            <w:tcW w:w="3150" w:type="dxa"/>
          </w:tcPr>
          <w:p w14:paraId="47E3BCB2" w14:textId="77777777" w:rsidR="3050D374" w:rsidRPr="3050D374" w:rsidRDefault="3050D374" w:rsidP="3050D374">
            <w:pPr>
              <w:pStyle w:val="ListParagraph"/>
              <w:ind w:left="630" w:hanging="630"/>
              <w:rPr>
                <w:rFonts w:eastAsia="Calibri" w:cs="Arial"/>
              </w:rPr>
            </w:pPr>
            <w:r w:rsidRPr="3050D374">
              <w:rPr>
                <w:rFonts w:eastAsia="Calibri" w:cs="Arial"/>
              </w:rPr>
              <w:t>2027/28</w:t>
            </w:r>
          </w:p>
        </w:tc>
        <w:tc>
          <w:tcPr>
            <w:tcW w:w="2973" w:type="dxa"/>
            <w:tcBorders>
              <w:top w:val="single" w:sz="4" w:space="0" w:color="auto"/>
              <w:left w:val="single" w:sz="4" w:space="0" w:color="auto"/>
              <w:bottom w:val="single" w:sz="4" w:space="0" w:color="auto"/>
              <w:right w:val="nil"/>
            </w:tcBorders>
            <w:vAlign w:val="bottom"/>
          </w:tcPr>
          <w:p w14:paraId="074D2366" w14:textId="6C84288E" w:rsidR="005243A5" w:rsidRPr="00572DC5" w:rsidRDefault="1BC9E0A5" w:rsidP="3050D374">
            <w:pPr>
              <w:pStyle w:val="ListParagraph"/>
              <w:spacing w:line="259" w:lineRule="auto"/>
              <w:ind w:left="0"/>
              <w:jc w:val="right"/>
              <w:rPr>
                <w:rFonts w:eastAsia="Calibri" w:cs="Arial"/>
                <w:color w:val="000000" w:themeColor="text1"/>
                <w:sz w:val="22"/>
                <w:szCs w:val="22"/>
              </w:rPr>
            </w:pPr>
            <w:r w:rsidRPr="3050D374">
              <w:rPr>
                <w:rFonts w:cs="Arial"/>
                <w:color w:val="000000" w:themeColor="text1"/>
                <w:sz w:val="22"/>
                <w:szCs w:val="22"/>
              </w:rPr>
              <w:t>5</w:t>
            </w:r>
            <w:r w:rsidR="44C409C3" w:rsidRPr="3050D374">
              <w:rPr>
                <w:rFonts w:cs="Arial"/>
                <w:color w:val="000000" w:themeColor="text1"/>
                <w:sz w:val="22"/>
                <w:szCs w:val="22"/>
              </w:rPr>
              <w:t>3</w:t>
            </w:r>
            <w:r w:rsidR="18823F26" w:rsidRPr="3050D374">
              <w:rPr>
                <w:rFonts w:cs="Arial"/>
                <w:color w:val="000000" w:themeColor="text1"/>
                <w:sz w:val="22"/>
                <w:szCs w:val="22"/>
              </w:rPr>
              <w:t>7</w:t>
            </w:r>
            <w:r w:rsidRPr="3050D374">
              <w:rPr>
                <w:rFonts w:cs="Arial"/>
                <w:color w:val="000000" w:themeColor="text1"/>
                <w:sz w:val="22"/>
                <w:szCs w:val="22"/>
              </w:rPr>
              <w:t>,079</w:t>
            </w:r>
          </w:p>
        </w:tc>
        <w:tc>
          <w:tcPr>
            <w:tcW w:w="2648" w:type="dxa"/>
            <w:tcBorders>
              <w:top w:val="single" w:sz="4" w:space="0" w:color="auto"/>
              <w:left w:val="single" w:sz="4" w:space="0" w:color="auto"/>
              <w:bottom w:val="single" w:sz="4" w:space="0" w:color="auto"/>
              <w:right w:val="single" w:sz="4" w:space="0" w:color="auto"/>
            </w:tcBorders>
            <w:vAlign w:val="bottom"/>
          </w:tcPr>
          <w:p w14:paraId="3553A72B" w14:textId="24C3EEF2" w:rsidR="005243A5" w:rsidRPr="00572DC5" w:rsidRDefault="00046AF4" w:rsidP="005243A5">
            <w:pPr>
              <w:pStyle w:val="ListParagraph"/>
              <w:ind w:left="0"/>
              <w:jc w:val="right"/>
              <w:rPr>
                <w:rFonts w:eastAsia="Calibri" w:cs="Arial"/>
              </w:rPr>
            </w:pPr>
            <w:r w:rsidRPr="3050D374">
              <w:rPr>
                <w:rFonts w:cs="Arial"/>
                <w:color w:val="000000" w:themeColor="text1"/>
                <w:sz w:val="22"/>
                <w:szCs w:val="22"/>
              </w:rPr>
              <w:t>5,</w:t>
            </w:r>
            <w:r w:rsidR="6B2C11DC" w:rsidRPr="3050D374">
              <w:rPr>
                <w:rFonts w:cs="Arial"/>
                <w:color w:val="000000" w:themeColor="text1"/>
                <w:sz w:val="22"/>
                <w:szCs w:val="22"/>
              </w:rPr>
              <w:t>501</w:t>
            </w:r>
            <w:r w:rsidR="005243A5" w:rsidRPr="3050D374">
              <w:rPr>
                <w:rFonts w:cs="Arial"/>
                <w:color w:val="000000" w:themeColor="text1"/>
                <w:sz w:val="22"/>
                <w:szCs w:val="22"/>
              </w:rPr>
              <w:t xml:space="preserve"> </w:t>
            </w:r>
          </w:p>
        </w:tc>
      </w:tr>
      <w:tr w:rsidR="005243A5" w:rsidRPr="00572DC5" w14:paraId="1837EA80" w14:textId="77777777" w:rsidTr="3050D374">
        <w:tc>
          <w:tcPr>
            <w:tcW w:w="3150" w:type="dxa"/>
          </w:tcPr>
          <w:p w14:paraId="56EFC2B5" w14:textId="77777777" w:rsidR="3050D374" w:rsidRPr="3050D374" w:rsidRDefault="3050D374" w:rsidP="3050D374">
            <w:pPr>
              <w:pStyle w:val="ListParagraph"/>
              <w:ind w:left="630" w:hanging="630"/>
              <w:rPr>
                <w:rFonts w:eastAsia="Calibri" w:cs="Arial"/>
              </w:rPr>
            </w:pPr>
            <w:r w:rsidRPr="3050D374">
              <w:rPr>
                <w:rFonts w:eastAsia="Calibri" w:cs="Arial"/>
              </w:rPr>
              <w:t>2028/29</w:t>
            </w:r>
          </w:p>
        </w:tc>
        <w:tc>
          <w:tcPr>
            <w:tcW w:w="2973" w:type="dxa"/>
            <w:tcBorders>
              <w:top w:val="single" w:sz="4" w:space="0" w:color="auto"/>
              <w:left w:val="single" w:sz="4" w:space="0" w:color="auto"/>
              <w:bottom w:val="single" w:sz="4" w:space="0" w:color="auto"/>
              <w:right w:val="nil"/>
            </w:tcBorders>
            <w:vAlign w:val="bottom"/>
          </w:tcPr>
          <w:p w14:paraId="7DFA4BCC" w14:textId="0ECAC108" w:rsidR="005243A5" w:rsidRPr="00572DC5" w:rsidRDefault="26EE9042" w:rsidP="3050D374">
            <w:pPr>
              <w:pStyle w:val="ListParagraph"/>
              <w:spacing w:line="259" w:lineRule="auto"/>
              <w:ind w:left="0"/>
              <w:jc w:val="right"/>
              <w:rPr>
                <w:rFonts w:eastAsia="Calibri" w:cs="Arial"/>
                <w:color w:val="000000" w:themeColor="text1"/>
                <w:sz w:val="22"/>
                <w:szCs w:val="22"/>
              </w:rPr>
            </w:pPr>
            <w:r w:rsidRPr="3050D374">
              <w:rPr>
                <w:rFonts w:cs="Arial"/>
                <w:color w:val="000000" w:themeColor="text1"/>
                <w:sz w:val="22"/>
                <w:szCs w:val="22"/>
              </w:rPr>
              <w:t>5</w:t>
            </w:r>
            <w:r w:rsidR="4BE765E7" w:rsidRPr="3050D374">
              <w:rPr>
                <w:rFonts w:cs="Arial"/>
                <w:color w:val="000000" w:themeColor="text1"/>
                <w:sz w:val="22"/>
                <w:szCs w:val="22"/>
              </w:rPr>
              <w:t>8</w:t>
            </w:r>
            <w:r w:rsidR="42C7C570" w:rsidRPr="3050D374">
              <w:rPr>
                <w:rFonts w:cs="Arial"/>
                <w:color w:val="000000" w:themeColor="text1"/>
                <w:sz w:val="22"/>
                <w:szCs w:val="22"/>
              </w:rPr>
              <w:t>9</w:t>
            </w:r>
            <w:r w:rsidRPr="3050D374">
              <w:rPr>
                <w:rFonts w:cs="Arial"/>
                <w:color w:val="000000" w:themeColor="text1"/>
                <w:sz w:val="22"/>
                <w:szCs w:val="22"/>
              </w:rPr>
              <w:t>,079</w:t>
            </w:r>
          </w:p>
        </w:tc>
        <w:tc>
          <w:tcPr>
            <w:tcW w:w="2648" w:type="dxa"/>
            <w:tcBorders>
              <w:top w:val="single" w:sz="4" w:space="0" w:color="auto"/>
              <w:left w:val="single" w:sz="4" w:space="0" w:color="auto"/>
              <w:bottom w:val="single" w:sz="2" w:space="0" w:color="000000" w:themeColor="text1"/>
              <w:right w:val="single" w:sz="4" w:space="0" w:color="auto"/>
            </w:tcBorders>
            <w:vAlign w:val="bottom"/>
          </w:tcPr>
          <w:p w14:paraId="063AC8D9" w14:textId="734B8942" w:rsidR="005243A5" w:rsidRPr="00572DC5" w:rsidRDefault="7770487F" w:rsidP="005243A5">
            <w:pPr>
              <w:pStyle w:val="ListParagraph"/>
              <w:ind w:left="0"/>
              <w:jc w:val="right"/>
              <w:rPr>
                <w:rFonts w:eastAsia="Calibri" w:cs="Arial"/>
              </w:rPr>
            </w:pPr>
            <w:r w:rsidRPr="3050D374">
              <w:rPr>
                <w:rFonts w:cs="Arial"/>
                <w:color w:val="000000" w:themeColor="text1"/>
                <w:sz w:val="22"/>
                <w:szCs w:val="22"/>
              </w:rPr>
              <w:t>7,579</w:t>
            </w:r>
            <w:r w:rsidR="2B4E5CFC" w:rsidRPr="3050D374">
              <w:rPr>
                <w:rFonts w:cs="Arial"/>
                <w:color w:val="000000" w:themeColor="text1"/>
                <w:sz w:val="22"/>
                <w:szCs w:val="22"/>
              </w:rPr>
              <w:t xml:space="preserve"> </w:t>
            </w:r>
          </w:p>
        </w:tc>
      </w:tr>
      <w:tr w:rsidR="005243A5" w:rsidRPr="00572DC5" w14:paraId="0004A262" w14:textId="77777777" w:rsidTr="3050D374">
        <w:tc>
          <w:tcPr>
            <w:tcW w:w="3150" w:type="dxa"/>
          </w:tcPr>
          <w:p w14:paraId="241309CF" w14:textId="3ACA867E" w:rsidR="3050D374" w:rsidRPr="3050D374" w:rsidRDefault="3050D374" w:rsidP="3050D374">
            <w:pPr>
              <w:pStyle w:val="ListParagraph"/>
              <w:ind w:left="630" w:hanging="630"/>
              <w:rPr>
                <w:rFonts w:eastAsia="Calibri" w:cs="Arial"/>
              </w:rPr>
            </w:pPr>
            <w:r w:rsidRPr="3050D374">
              <w:rPr>
                <w:rFonts w:eastAsia="Calibri" w:cs="Arial"/>
              </w:rPr>
              <w:t>2029/30</w:t>
            </w:r>
          </w:p>
        </w:tc>
        <w:tc>
          <w:tcPr>
            <w:tcW w:w="2973" w:type="dxa"/>
            <w:tcBorders>
              <w:top w:val="single" w:sz="4" w:space="0" w:color="auto"/>
              <w:left w:val="single" w:sz="4" w:space="0" w:color="auto"/>
              <w:bottom w:val="nil"/>
              <w:right w:val="single" w:sz="2" w:space="0" w:color="000000" w:themeColor="text1"/>
            </w:tcBorders>
            <w:vAlign w:val="bottom"/>
          </w:tcPr>
          <w:p w14:paraId="15A73F09" w14:textId="35529BCA" w:rsidR="005243A5" w:rsidRPr="00572DC5" w:rsidRDefault="754B1838" w:rsidP="005243A5">
            <w:pPr>
              <w:pStyle w:val="ListParagraph"/>
              <w:ind w:left="0"/>
              <w:jc w:val="right"/>
              <w:rPr>
                <w:rFonts w:eastAsia="Calibri" w:cs="Arial"/>
                <w:color w:val="000000" w:themeColor="text1"/>
                <w:sz w:val="22"/>
                <w:szCs w:val="22"/>
              </w:rPr>
            </w:pPr>
            <w:r w:rsidRPr="3050D374">
              <w:rPr>
                <w:rFonts w:cs="Arial"/>
                <w:color w:val="000000" w:themeColor="text1"/>
                <w:sz w:val="22"/>
                <w:szCs w:val="22"/>
              </w:rPr>
              <w:t>6</w:t>
            </w:r>
            <w:r w:rsidR="28781E02" w:rsidRPr="3050D374">
              <w:rPr>
                <w:rFonts w:cs="Arial"/>
                <w:color w:val="000000" w:themeColor="text1"/>
                <w:sz w:val="22"/>
                <w:szCs w:val="22"/>
              </w:rPr>
              <w:t>51</w:t>
            </w:r>
            <w:r w:rsidR="60F2491B" w:rsidRPr="3050D374">
              <w:rPr>
                <w:rFonts w:cs="Arial"/>
                <w:color w:val="000000" w:themeColor="text1"/>
                <w:sz w:val="22"/>
                <w:szCs w:val="22"/>
              </w:rPr>
              <w:t>,079</w:t>
            </w:r>
          </w:p>
        </w:tc>
        <w:tc>
          <w:tcPr>
            <w:tcW w:w="264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4C29F0B8" w14:textId="3AC06170" w:rsidR="005243A5" w:rsidRPr="00572DC5" w:rsidRDefault="6E536CE9" w:rsidP="005243A5">
            <w:pPr>
              <w:pStyle w:val="ListParagraph"/>
              <w:ind w:left="0"/>
              <w:jc w:val="right"/>
              <w:rPr>
                <w:rFonts w:eastAsia="Calibri" w:cs="Arial"/>
                <w:color w:val="000000" w:themeColor="text1"/>
                <w:sz w:val="22"/>
                <w:szCs w:val="22"/>
              </w:rPr>
            </w:pPr>
            <w:r w:rsidRPr="3050D374">
              <w:rPr>
                <w:rFonts w:cs="Arial"/>
                <w:color w:val="000000" w:themeColor="text1"/>
                <w:sz w:val="22"/>
                <w:szCs w:val="22"/>
              </w:rPr>
              <w:t>11,930</w:t>
            </w:r>
            <w:r w:rsidR="2B4E5CFC" w:rsidRPr="3050D374">
              <w:rPr>
                <w:rFonts w:cs="Arial"/>
                <w:color w:val="000000" w:themeColor="text1"/>
                <w:sz w:val="22"/>
                <w:szCs w:val="22"/>
              </w:rPr>
              <w:t xml:space="preserve"> </w:t>
            </w:r>
          </w:p>
        </w:tc>
      </w:tr>
      <w:tr w:rsidR="00F742A9" w:rsidRPr="00572DC5" w14:paraId="5DD8EE1C" w14:textId="77777777" w:rsidTr="3050D374">
        <w:tc>
          <w:tcPr>
            <w:tcW w:w="3150" w:type="dxa"/>
          </w:tcPr>
          <w:p w14:paraId="3969DCD2" w14:textId="0E720EF4" w:rsidR="3050D374" w:rsidRPr="3050D374" w:rsidRDefault="3050D374" w:rsidP="3050D374">
            <w:pPr>
              <w:pStyle w:val="ListParagraph"/>
              <w:ind w:left="630" w:hanging="630"/>
              <w:rPr>
                <w:rFonts w:eastAsia="Calibri" w:cs="Arial"/>
              </w:rPr>
            </w:pPr>
            <w:r w:rsidRPr="3050D374">
              <w:rPr>
                <w:rFonts w:eastAsia="Calibri" w:cs="Arial"/>
              </w:rPr>
              <w:t>203</w:t>
            </w:r>
            <w:r w:rsidR="089CFD78" w:rsidRPr="3050D374">
              <w:rPr>
                <w:rFonts w:eastAsia="Calibri" w:cs="Arial"/>
              </w:rPr>
              <w:t>0</w:t>
            </w:r>
            <w:r w:rsidRPr="3050D374">
              <w:rPr>
                <w:rFonts w:eastAsia="Calibri" w:cs="Arial"/>
              </w:rPr>
              <w:t>/3</w:t>
            </w:r>
            <w:r w:rsidR="78B7415D" w:rsidRPr="3050D374">
              <w:rPr>
                <w:rFonts w:eastAsia="Calibri" w:cs="Arial"/>
              </w:rPr>
              <w:t>1</w:t>
            </w:r>
          </w:p>
        </w:tc>
        <w:tc>
          <w:tcPr>
            <w:tcW w:w="2973" w:type="dxa"/>
          </w:tcPr>
          <w:p w14:paraId="54BDE940" w14:textId="23641EB5" w:rsidR="00F742A9" w:rsidRPr="00572DC5" w:rsidRDefault="000B53FF" w:rsidP="3050D374">
            <w:pPr>
              <w:pStyle w:val="ListParagraph"/>
              <w:spacing w:line="259" w:lineRule="auto"/>
              <w:ind w:left="0"/>
              <w:jc w:val="right"/>
              <w:rPr>
                <w:rFonts w:eastAsia="Calibri" w:cs="Arial"/>
                <w:sz w:val="22"/>
                <w:szCs w:val="22"/>
              </w:rPr>
            </w:pPr>
            <w:r w:rsidRPr="3050D374">
              <w:rPr>
                <w:rFonts w:eastAsia="Calibri" w:cs="Arial"/>
                <w:sz w:val="22"/>
                <w:szCs w:val="22"/>
              </w:rPr>
              <w:t>742,</w:t>
            </w:r>
            <w:r w:rsidR="26FAC383" w:rsidRPr="3050D374">
              <w:rPr>
                <w:rFonts w:eastAsia="Calibri" w:cs="Arial"/>
                <w:sz w:val="22"/>
                <w:szCs w:val="22"/>
              </w:rPr>
              <w:t>079</w:t>
            </w:r>
          </w:p>
        </w:tc>
        <w:tc>
          <w:tcPr>
            <w:tcW w:w="2648" w:type="dxa"/>
            <w:tcBorders>
              <w:top w:val="single" w:sz="2" w:space="0" w:color="000000" w:themeColor="text1"/>
            </w:tcBorders>
          </w:tcPr>
          <w:p w14:paraId="14AA21A2" w14:textId="1890D936" w:rsidR="00F742A9" w:rsidRPr="00572DC5" w:rsidRDefault="75F05B66" w:rsidP="005243A5">
            <w:pPr>
              <w:pStyle w:val="ListParagraph"/>
              <w:ind w:left="0"/>
              <w:jc w:val="right"/>
              <w:rPr>
                <w:rFonts w:eastAsia="Calibri" w:cs="Arial"/>
                <w:sz w:val="22"/>
                <w:szCs w:val="22"/>
              </w:rPr>
            </w:pPr>
            <w:r w:rsidRPr="3050D374">
              <w:rPr>
                <w:rFonts w:eastAsia="Calibri" w:cs="Arial"/>
                <w:sz w:val="22"/>
                <w:szCs w:val="22"/>
              </w:rPr>
              <w:t xml:space="preserve">17,366 </w:t>
            </w:r>
          </w:p>
        </w:tc>
      </w:tr>
      <w:tr w:rsidR="005243A5" w:rsidRPr="00572DC5" w14:paraId="4E565AB0" w14:textId="77777777" w:rsidTr="3050D374">
        <w:tc>
          <w:tcPr>
            <w:tcW w:w="3150" w:type="dxa"/>
          </w:tcPr>
          <w:p w14:paraId="6BC0C78E" w14:textId="63BFF59C" w:rsidR="6B790698" w:rsidRPr="3050D374" w:rsidRDefault="6B790698" w:rsidP="3050D374">
            <w:pPr>
              <w:pStyle w:val="ListParagraph"/>
              <w:ind w:left="630" w:hanging="630"/>
              <w:rPr>
                <w:rFonts w:eastAsia="Calibri" w:cs="Arial"/>
              </w:rPr>
            </w:pPr>
            <w:r w:rsidRPr="3050D374">
              <w:rPr>
                <w:rFonts w:eastAsia="Calibri" w:cs="Arial"/>
              </w:rPr>
              <w:t>2031/32</w:t>
            </w:r>
          </w:p>
        </w:tc>
        <w:tc>
          <w:tcPr>
            <w:tcW w:w="2973" w:type="dxa"/>
          </w:tcPr>
          <w:p w14:paraId="4F9934F8" w14:textId="7F5FA440" w:rsidR="005243A5" w:rsidRPr="00572DC5" w:rsidDel="00B83D86" w:rsidRDefault="1703AE69" w:rsidP="3050D374">
            <w:pPr>
              <w:pStyle w:val="ListParagraph"/>
              <w:spacing w:line="259" w:lineRule="auto"/>
              <w:ind w:left="0"/>
              <w:jc w:val="right"/>
              <w:rPr>
                <w:rFonts w:eastAsia="Calibri" w:cs="Arial"/>
                <w:sz w:val="22"/>
                <w:szCs w:val="22"/>
              </w:rPr>
            </w:pPr>
            <w:r w:rsidRPr="3050D374">
              <w:rPr>
                <w:rFonts w:eastAsia="Calibri" w:cs="Arial"/>
                <w:sz w:val="22"/>
                <w:szCs w:val="22"/>
              </w:rPr>
              <w:t>7</w:t>
            </w:r>
            <w:r w:rsidR="47CBDCB2" w:rsidRPr="3050D374">
              <w:rPr>
                <w:rFonts w:eastAsia="Calibri" w:cs="Arial"/>
                <w:sz w:val="22"/>
                <w:szCs w:val="22"/>
              </w:rPr>
              <w:t>52</w:t>
            </w:r>
            <w:r w:rsidR="618BCEFE" w:rsidRPr="3050D374">
              <w:rPr>
                <w:rFonts w:eastAsia="Calibri" w:cs="Arial"/>
                <w:sz w:val="22"/>
                <w:szCs w:val="22"/>
              </w:rPr>
              <w:t>,079</w:t>
            </w:r>
          </w:p>
        </w:tc>
        <w:tc>
          <w:tcPr>
            <w:tcW w:w="2648" w:type="dxa"/>
          </w:tcPr>
          <w:p w14:paraId="4391E04A" w14:textId="3680145B" w:rsidR="005243A5" w:rsidRPr="00572DC5" w:rsidRDefault="2D758B1E" w:rsidP="005243A5">
            <w:pPr>
              <w:pStyle w:val="ListParagraph"/>
              <w:ind w:left="0"/>
              <w:jc w:val="right"/>
              <w:rPr>
                <w:rFonts w:eastAsia="Calibri" w:cs="Arial"/>
                <w:sz w:val="22"/>
                <w:szCs w:val="22"/>
              </w:rPr>
            </w:pPr>
            <w:r w:rsidRPr="3050D374">
              <w:rPr>
                <w:rFonts w:eastAsia="Calibri" w:cs="Arial"/>
                <w:sz w:val="22"/>
                <w:szCs w:val="22"/>
              </w:rPr>
              <w:t xml:space="preserve">11,279 </w:t>
            </w:r>
          </w:p>
        </w:tc>
      </w:tr>
      <w:tr w:rsidR="005243A5" w:rsidRPr="00572DC5" w14:paraId="0C7688D0" w14:textId="77777777" w:rsidTr="3050D374">
        <w:tc>
          <w:tcPr>
            <w:tcW w:w="3150" w:type="dxa"/>
          </w:tcPr>
          <w:p w14:paraId="61E1E9AD" w14:textId="7FE7847D" w:rsidR="005243A5" w:rsidRPr="00572DC5" w:rsidRDefault="588D89DD" w:rsidP="005243A5">
            <w:pPr>
              <w:pStyle w:val="ListParagraph"/>
              <w:ind w:left="630" w:hanging="630"/>
              <w:rPr>
                <w:rFonts w:eastAsia="Calibri" w:cs="Arial"/>
              </w:rPr>
            </w:pPr>
            <w:r w:rsidRPr="3050D374">
              <w:rPr>
                <w:rFonts w:eastAsia="Calibri" w:cs="Arial"/>
              </w:rPr>
              <w:t>203</w:t>
            </w:r>
            <w:r w:rsidR="542432CB" w:rsidRPr="3050D374">
              <w:rPr>
                <w:rFonts w:eastAsia="Calibri" w:cs="Arial"/>
              </w:rPr>
              <w:t>6</w:t>
            </w:r>
            <w:r w:rsidRPr="3050D374">
              <w:rPr>
                <w:rFonts w:eastAsia="Calibri" w:cs="Arial"/>
              </w:rPr>
              <w:t>/3</w:t>
            </w:r>
            <w:r w:rsidR="6DD77B0B" w:rsidRPr="3050D374">
              <w:rPr>
                <w:rFonts w:eastAsia="Calibri" w:cs="Arial"/>
              </w:rPr>
              <w:t>7</w:t>
            </w:r>
            <w:r w:rsidRPr="3050D374">
              <w:rPr>
                <w:rFonts w:eastAsia="Calibri" w:cs="Arial"/>
              </w:rPr>
              <w:t xml:space="preserve"> – Peak Debt</w:t>
            </w:r>
          </w:p>
        </w:tc>
        <w:tc>
          <w:tcPr>
            <w:tcW w:w="2973" w:type="dxa"/>
          </w:tcPr>
          <w:p w14:paraId="32CE8696" w14:textId="4D0EC237" w:rsidR="005243A5" w:rsidRPr="00572DC5" w:rsidRDefault="4B521AEC" w:rsidP="005243A5">
            <w:pPr>
              <w:pStyle w:val="ListParagraph"/>
              <w:ind w:left="0"/>
              <w:jc w:val="right"/>
              <w:rPr>
                <w:rFonts w:eastAsia="Calibri" w:cs="Arial"/>
                <w:sz w:val="22"/>
                <w:szCs w:val="22"/>
              </w:rPr>
            </w:pPr>
            <w:r w:rsidRPr="3050D374">
              <w:rPr>
                <w:rFonts w:eastAsia="Calibri" w:cs="Arial"/>
                <w:sz w:val="22"/>
                <w:szCs w:val="22"/>
              </w:rPr>
              <w:t>76</w:t>
            </w:r>
            <w:r w:rsidR="7905C376" w:rsidRPr="3050D374">
              <w:rPr>
                <w:rFonts w:eastAsia="Calibri" w:cs="Arial"/>
                <w:sz w:val="22"/>
                <w:szCs w:val="22"/>
              </w:rPr>
              <w:t>7</w:t>
            </w:r>
            <w:r w:rsidR="00436853" w:rsidRPr="3050D374">
              <w:rPr>
                <w:rFonts w:eastAsia="Calibri" w:cs="Arial"/>
                <w:sz w:val="22"/>
                <w:szCs w:val="22"/>
              </w:rPr>
              <w:t>,079</w:t>
            </w:r>
          </w:p>
        </w:tc>
        <w:tc>
          <w:tcPr>
            <w:tcW w:w="2648" w:type="dxa"/>
          </w:tcPr>
          <w:p w14:paraId="380E022F" w14:textId="0F038833" w:rsidR="005243A5" w:rsidRPr="00572DC5" w:rsidRDefault="4D966B02" w:rsidP="005243A5">
            <w:pPr>
              <w:pStyle w:val="ListParagraph"/>
              <w:ind w:left="0"/>
              <w:jc w:val="right"/>
              <w:rPr>
                <w:rFonts w:eastAsia="Calibri" w:cs="Arial"/>
                <w:sz w:val="22"/>
                <w:szCs w:val="22"/>
              </w:rPr>
            </w:pPr>
            <w:r w:rsidRPr="3050D374">
              <w:rPr>
                <w:rFonts w:eastAsia="Calibri" w:cs="Arial"/>
                <w:sz w:val="22"/>
                <w:szCs w:val="22"/>
              </w:rPr>
              <w:t xml:space="preserve">52,444 </w:t>
            </w:r>
          </w:p>
        </w:tc>
      </w:tr>
      <w:tr w:rsidR="3050D374" w14:paraId="2DF10E0A" w14:textId="77777777" w:rsidTr="3050D374">
        <w:trPr>
          <w:trHeight w:val="300"/>
        </w:trPr>
        <w:tc>
          <w:tcPr>
            <w:tcW w:w="3150" w:type="dxa"/>
          </w:tcPr>
          <w:p w14:paraId="57A53C11" w14:textId="10463732" w:rsidR="5E18CE4E" w:rsidRDefault="5E18CE4E" w:rsidP="3050D374">
            <w:pPr>
              <w:rPr>
                <w:rFonts w:eastAsia="Calibri" w:cs="Arial"/>
              </w:rPr>
            </w:pPr>
            <w:r w:rsidRPr="3050D374">
              <w:rPr>
                <w:rFonts w:eastAsia="Calibri" w:cs="Arial"/>
              </w:rPr>
              <w:t>2063/64</w:t>
            </w:r>
          </w:p>
        </w:tc>
        <w:tc>
          <w:tcPr>
            <w:tcW w:w="2973" w:type="dxa"/>
          </w:tcPr>
          <w:p w14:paraId="78268F88" w14:textId="183503F0" w:rsidR="5E18CE4E" w:rsidRDefault="5E18CE4E" w:rsidP="3050D374">
            <w:pPr>
              <w:pStyle w:val="ListParagraph"/>
              <w:spacing w:line="259" w:lineRule="auto"/>
              <w:jc w:val="right"/>
              <w:rPr>
                <w:rFonts w:eastAsia="Calibri" w:cs="Arial"/>
                <w:sz w:val="22"/>
                <w:szCs w:val="22"/>
              </w:rPr>
            </w:pPr>
            <w:r w:rsidRPr="3050D374">
              <w:rPr>
                <w:rFonts w:eastAsia="Calibri" w:cs="Arial"/>
                <w:sz w:val="22"/>
                <w:szCs w:val="22"/>
              </w:rPr>
              <w:t>75,551</w:t>
            </w:r>
          </w:p>
        </w:tc>
        <w:tc>
          <w:tcPr>
            <w:tcW w:w="2648" w:type="dxa"/>
          </w:tcPr>
          <w:p w14:paraId="339E2861" w14:textId="5DAE65FF" w:rsidR="5D12523F" w:rsidRDefault="5D12523F" w:rsidP="3050D374">
            <w:pPr>
              <w:pStyle w:val="ListParagraph"/>
              <w:jc w:val="right"/>
              <w:rPr>
                <w:rFonts w:eastAsia="Calibri" w:cs="Arial"/>
                <w:sz w:val="22"/>
                <w:szCs w:val="22"/>
              </w:rPr>
            </w:pPr>
            <w:r w:rsidRPr="3050D374">
              <w:rPr>
                <w:rFonts w:eastAsia="Calibri" w:cs="Arial"/>
                <w:sz w:val="22"/>
                <w:szCs w:val="22"/>
              </w:rPr>
              <w:t xml:space="preserve">340,259 </w:t>
            </w:r>
          </w:p>
        </w:tc>
      </w:tr>
    </w:tbl>
    <w:p w14:paraId="128DA56F" w14:textId="0269263D" w:rsidR="00092035" w:rsidRPr="00572DC5" w:rsidRDefault="00092035" w:rsidP="00092035">
      <w:pPr>
        <w:pStyle w:val="ListParagraph"/>
        <w:rPr>
          <w:rFonts w:eastAsia="Calibri" w:cs="Arial"/>
        </w:rPr>
      </w:pPr>
    </w:p>
    <w:p w14:paraId="3D93F9DE" w14:textId="5FE744DA" w:rsidR="00F94CEC" w:rsidRPr="00572DC5" w:rsidRDefault="79CAE0DE" w:rsidP="00851939">
      <w:pPr>
        <w:pStyle w:val="ListParagraph"/>
        <w:numPr>
          <w:ilvl w:val="0"/>
          <w:numId w:val="53"/>
        </w:numPr>
        <w:rPr>
          <w:rFonts w:eastAsia="Calibri" w:cs="Arial"/>
        </w:rPr>
      </w:pPr>
      <w:r w:rsidRPr="13A39E62">
        <w:rPr>
          <w:rFonts w:eastAsia="Calibri" w:cs="Arial"/>
        </w:rPr>
        <w:t>In the latter years of the 40</w:t>
      </w:r>
      <w:r w:rsidR="0E65876F" w:rsidRPr="13A39E62">
        <w:rPr>
          <w:rFonts w:eastAsia="Calibri" w:cs="Arial"/>
        </w:rPr>
        <w:t>-</w:t>
      </w:r>
      <w:r w:rsidRPr="13A39E62">
        <w:rPr>
          <w:rFonts w:eastAsia="Calibri" w:cs="Arial"/>
        </w:rPr>
        <w:t xml:space="preserve">year Business Plan, HRA working balances begin to increase once again, enabling increased activity to be undertaken. </w:t>
      </w:r>
    </w:p>
    <w:p w14:paraId="33462444" w14:textId="77777777" w:rsidR="00D93703" w:rsidRPr="00572DC5" w:rsidRDefault="00D93703" w:rsidP="00104315">
      <w:pPr>
        <w:ind w:left="709" w:hanging="709"/>
        <w:rPr>
          <w:rFonts w:eastAsia="Calibri" w:cs="Arial"/>
        </w:rPr>
      </w:pPr>
    </w:p>
    <w:p w14:paraId="44690EC1" w14:textId="314086D3" w:rsidR="00CB1092" w:rsidRPr="00572DC5" w:rsidRDefault="003362DC" w:rsidP="009B6A85">
      <w:pPr>
        <w:ind w:left="709" w:hanging="709"/>
        <w:rPr>
          <w:rFonts w:cs="Arial"/>
        </w:rPr>
      </w:pPr>
      <w:r w:rsidRPr="13A39E62">
        <w:rPr>
          <w:rFonts w:eastAsia="Calibri" w:cs="Arial"/>
          <w:b/>
        </w:rPr>
        <w:t>Ke</w:t>
      </w:r>
      <w:r w:rsidR="00CB1092" w:rsidRPr="13A39E62">
        <w:rPr>
          <w:rFonts w:cs="Arial"/>
          <w:b/>
        </w:rPr>
        <w:t>y assumptions made in preparing the HRA budget</w:t>
      </w:r>
      <w:r w:rsidR="00CA168A" w:rsidRPr="13A39E62">
        <w:rPr>
          <w:rFonts w:cs="Arial"/>
          <w:b/>
        </w:rPr>
        <w:t xml:space="preserve"> for </w:t>
      </w:r>
      <w:r w:rsidR="00CA168A" w:rsidRPr="13A39E62">
        <w:rPr>
          <w:rFonts w:cs="Arial"/>
          <w:b/>
          <w:bCs/>
        </w:rPr>
        <w:t>20</w:t>
      </w:r>
      <w:r w:rsidR="00223741" w:rsidRPr="13A39E62">
        <w:rPr>
          <w:rFonts w:cs="Arial"/>
          <w:b/>
          <w:bCs/>
        </w:rPr>
        <w:t>2</w:t>
      </w:r>
      <w:r w:rsidR="6D16DC04" w:rsidRPr="13A39E62">
        <w:rPr>
          <w:rFonts w:cs="Arial"/>
          <w:b/>
          <w:bCs/>
        </w:rPr>
        <w:t>6</w:t>
      </w:r>
      <w:r w:rsidR="00CA168A" w:rsidRPr="13A39E62">
        <w:rPr>
          <w:rFonts w:cs="Arial"/>
          <w:b/>
          <w:bCs/>
        </w:rPr>
        <w:t>/</w:t>
      </w:r>
      <w:r w:rsidR="00D34F3F" w:rsidRPr="13A39E62">
        <w:rPr>
          <w:rFonts w:cs="Arial"/>
          <w:b/>
          <w:bCs/>
        </w:rPr>
        <w:t>2</w:t>
      </w:r>
      <w:r w:rsidR="455140E1" w:rsidRPr="13A39E62">
        <w:rPr>
          <w:rFonts w:cs="Arial"/>
          <w:b/>
          <w:bCs/>
        </w:rPr>
        <w:t>7</w:t>
      </w:r>
      <w:r w:rsidR="00CA168A" w:rsidRPr="13A39E62">
        <w:rPr>
          <w:rFonts w:cs="Arial"/>
          <w:b/>
          <w:bCs/>
        </w:rPr>
        <w:t xml:space="preserve"> – 20</w:t>
      </w:r>
      <w:r w:rsidR="3C0AA40E" w:rsidRPr="13A39E62">
        <w:rPr>
          <w:rFonts w:cs="Arial"/>
          <w:b/>
          <w:bCs/>
        </w:rPr>
        <w:t>30</w:t>
      </w:r>
      <w:r w:rsidR="005C674D" w:rsidRPr="13A39E62">
        <w:rPr>
          <w:rFonts w:cs="Arial"/>
          <w:b/>
          <w:bCs/>
        </w:rPr>
        <w:t>/</w:t>
      </w:r>
      <w:r w:rsidR="001E4203" w:rsidRPr="13A39E62">
        <w:rPr>
          <w:rFonts w:cs="Arial"/>
          <w:b/>
          <w:bCs/>
        </w:rPr>
        <w:t>3</w:t>
      </w:r>
      <w:r w:rsidR="64A397A0" w:rsidRPr="13A39E62">
        <w:rPr>
          <w:rFonts w:cs="Arial"/>
          <w:b/>
          <w:bCs/>
        </w:rPr>
        <w:t>1</w:t>
      </w:r>
      <w:r w:rsidR="00CB1092" w:rsidRPr="13A39E62">
        <w:rPr>
          <w:rFonts w:cs="Arial"/>
          <w:b/>
        </w:rPr>
        <w:t xml:space="preserve"> </w:t>
      </w:r>
      <w:r w:rsidR="00CB1092" w:rsidRPr="13A39E62">
        <w:rPr>
          <w:rFonts w:cs="Arial"/>
        </w:rPr>
        <w:t xml:space="preserve"> </w:t>
      </w:r>
    </w:p>
    <w:p w14:paraId="44D306B2" w14:textId="77777777" w:rsidR="00B519B5" w:rsidRPr="00572DC5" w:rsidRDefault="00B519B5" w:rsidP="009B6A85">
      <w:pPr>
        <w:ind w:left="709" w:hanging="709"/>
        <w:rPr>
          <w:rFonts w:cs="Arial"/>
        </w:rPr>
      </w:pPr>
    </w:p>
    <w:p w14:paraId="6EB4A31E" w14:textId="69D58A48" w:rsidR="00B519B5" w:rsidRPr="00572DC5" w:rsidRDefault="00B519B5" w:rsidP="009B6A85">
      <w:pPr>
        <w:ind w:left="709" w:hanging="709"/>
        <w:rPr>
          <w:rFonts w:cs="Arial"/>
          <w:b/>
        </w:rPr>
      </w:pPr>
      <w:r w:rsidRPr="13A39E62">
        <w:rPr>
          <w:rFonts w:cs="Arial"/>
          <w:b/>
        </w:rPr>
        <w:t>Rent Increases</w:t>
      </w:r>
    </w:p>
    <w:p w14:paraId="0D67E133" w14:textId="77777777" w:rsidR="001F46D8" w:rsidRPr="00572DC5" w:rsidRDefault="001F46D8" w:rsidP="009B6A85">
      <w:pPr>
        <w:ind w:left="709" w:hanging="709"/>
        <w:rPr>
          <w:rFonts w:cs="Arial"/>
          <w:highlight w:val="yellow"/>
        </w:rPr>
      </w:pPr>
    </w:p>
    <w:p w14:paraId="76E0E109" w14:textId="3878EC7F" w:rsidR="00172E4B" w:rsidRPr="00572DC5" w:rsidRDefault="44ECBE8F" w:rsidP="00851939">
      <w:pPr>
        <w:pStyle w:val="ListParagraph"/>
        <w:numPr>
          <w:ilvl w:val="0"/>
          <w:numId w:val="53"/>
        </w:numPr>
        <w:ind w:left="426" w:hanging="426"/>
      </w:pPr>
      <w:r>
        <w:t xml:space="preserve">The Regulator is expected to publish the final Rent Standard </w:t>
      </w:r>
      <w:r w:rsidR="7B972772">
        <w:t>following</w:t>
      </w:r>
      <w:r>
        <w:t xml:space="preserve"> the Autumn Statement on 26 November 2025, which will confirm convergence mechanisms and uplift limits. It is worth noting: </w:t>
      </w:r>
    </w:p>
    <w:p w14:paraId="32AE9705" w14:textId="46A95224" w:rsidR="00172E4B" w:rsidRPr="00572DC5" w:rsidRDefault="44ECBE8F" w:rsidP="00712800">
      <w:pPr>
        <w:pStyle w:val="ListParagraph"/>
        <w:numPr>
          <w:ilvl w:val="0"/>
          <w:numId w:val="29"/>
        </w:numPr>
      </w:pPr>
      <w:r>
        <w:t xml:space="preserve">The new policy will apply for at least 10 years from April 2026. </w:t>
      </w:r>
    </w:p>
    <w:p w14:paraId="709A5098" w14:textId="34736FE0" w:rsidR="00172E4B" w:rsidRPr="00A4691C" w:rsidRDefault="44ECBE8F" w:rsidP="00712800">
      <w:pPr>
        <w:pStyle w:val="ListParagraph"/>
        <w:numPr>
          <w:ilvl w:val="0"/>
          <w:numId w:val="29"/>
        </w:numPr>
      </w:pPr>
      <w:r w:rsidRPr="00A4691C">
        <w:t xml:space="preserve">It covers low-cost rental accommodation (not shared ownership). </w:t>
      </w:r>
    </w:p>
    <w:p w14:paraId="3BEDE9EA" w14:textId="30884249" w:rsidR="00172E4B" w:rsidRPr="00A4691C" w:rsidRDefault="44ECBE8F" w:rsidP="00712800">
      <w:pPr>
        <w:pStyle w:val="ListParagraph"/>
        <w:numPr>
          <w:ilvl w:val="0"/>
          <w:numId w:val="29"/>
        </w:numPr>
      </w:pPr>
      <w:r w:rsidRPr="00A4691C">
        <w:t xml:space="preserve">It reintroduces rent convergence for properties below formula rent. </w:t>
      </w:r>
    </w:p>
    <w:p w14:paraId="115011C9" w14:textId="6A1A0DD4" w:rsidR="00172E4B" w:rsidRPr="00A4691C" w:rsidRDefault="00172E4B" w:rsidP="13A39E62">
      <w:pPr>
        <w:pStyle w:val="ListParagraph"/>
        <w:ind w:left="982"/>
      </w:pPr>
    </w:p>
    <w:p w14:paraId="3738F237" w14:textId="5587A761" w:rsidR="00172E4B" w:rsidRPr="00572DC5" w:rsidRDefault="44ECBE8F" w:rsidP="00851939">
      <w:pPr>
        <w:pStyle w:val="ListParagraph"/>
        <w:numPr>
          <w:ilvl w:val="0"/>
          <w:numId w:val="53"/>
        </w:numPr>
        <w:ind w:left="450" w:hanging="450"/>
        <w:rPr>
          <w:highlight w:val="yellow"/>
        </w:rPr>
      </w:pPr>
      <w:r w:rsidRPr="00A4691C">
        <w:t>The maximum increase in rent for the period 2026/27 to 2035/36 is expected to be restricted to CPI (as at September of the previous year) plus 1 percentage point + up to [£</w:t>
      </w:r>
      <w:r>
        <w:t xml:space="preserve">1/£2] in any year where actual weekly rents are below formula rent. If the difference between actual weekly rents and formula rent is less than [£1/£2], then the level of uplift </w:t>
      </w:r>
      <w:r w:rsidR="18659AE2">
        <w:t>will</w:t>
      </w:r>
      <w:r>
        <w:t xml:space="preserve"> be adjusted accordingly so that the weekly rents charged do not then exceed formula rent.</w:t>
      </w:r>
      <w:r w:rsidR="7F5196BA">
        <w:t xml:space="preserve"> </w:t>
      </w:r>
    </w:p>
    <w:p w14:paraId="3292957E" w14:textId="77777777" w:rsidR="00B6421A" w:rsidRPr="00572DC5" w:rsidRDefault="00B6421A" w:rsidP="00527D86">
      <w:pPr>
        <w:rPr>
          <w:rStyle w:val="normaltextrun"/>
          <w:rFonts w:cs="Arial"/>
          <w:color w:val="000000"/>
          <w:shd w:val="clear" w:color="auto" w:fill="FFFFFF"/>
        </w:rPr>
      </w:pPr>
    </w:p>
    <w:p w14:paraId="780CAC1F" w14:textId="0A384CB0" w:rsidR="00A4766A" w:rsidRPr="00572DC5" w:rsidRDefault="39C4D2A6" w:rsidP="00851939">
      <w:pPr>
        <w:pStyle w:val="ListParagraph"/>
        <w:numPr>
          <w:ilvl w:val="0"/>
          <w:numId w:val="53"/>
        </w:numPr>
        <w:ind w:left="426" w:hanging="426"/>
      </w:pPr>
      <w:r>
        <w:t>As well as the restriction on maximum increases, rents are also capped as follows:</w:t>
      </w:r>
    </w:p>
    <w:p w14:paraId="19341627" w14:textId="0B1949C8" w:rsidR="00A4766A" w:rsidRPr="00572DC5" w:rsidRDefault="00A4766A" w:rsidP="00712800">
      <w:pPr>
        <w:pStyle w:val="ListParagraph"/>
        <w:numPr>
          <w:ilvl w:val="0"/>
          <w:numId w:val="21"/>
        </w:numPr>
        <w:spacing w:after="160" w:line="259" w:lineRule="auto"/>
        <w:ind w:left="1701" w:hanging="425"/>
        <w:contextualSpacing/>
        <w:jc w:val="both"/>
      </w:pPr>
      <w:r w:rsidRPr="13A39E62">
        <w:rPr>
          <w:b/>
        </w:rPr>
        <w:t>Social Rent</w:t>
      </w:r>
      <w:r>
        <w:t xml:space="preserve"> – </w:t>
      </w:r>
      <w:r w:rsidR="008254FD">
        <w:t xml:space="preserve">applies to the majority of council dwellings - </w:t>
      </w:r>
      <w:r>
        <w:t xml:space="preserve">rent caps apply as a maximum ceiling on the formula </w:t>
      </w:r>
      <w:r w:rsidR="50D017AD">
        <w:t>rent and</w:t>
      </w:r>
      <w:r>
        <w:t xml:space="preserve"> depend on the size of the property (the number of bedrooms it contains). Where the formula rent would be higher than the rent cap for a particular size of property, the rent cap must be used instead.</w:t>
      </w:r>
    </w:p>
    <w:p w14:paraId="7E42976D" w14:textId="639B6E46" w:rsidR="00A4766A" w:rsidRPr="00572DC5" w:rsidRDefault="00A4766A" w:rsidP="00712800">
      <w:pPr>
        <w:pStyle w:val="ListParagraph"/>
        <w:numPr>
          <w:ilvl w:val="0"/>
          <w:numId w:val="21"/>
        </w:numPr>
        <w:spacing w:after="160" w:line="259" w:lineRule="auto"/>
        <w:ind w:left="1701" w:hanging="425"/>
        <w:contextualSpacing/>
        <w:jc w:val="both"/>
      </w:pPr>
      <w:r w:rsidRPr="13A39E62">
        <w:rPr>
          <w:b/>
        </w:rPr>
        <w:t>Affordable Rents</w:t>
      </w:r>
      <w:r>
        <w:t xml:space="preserve"> </w:t>
      </w:r>
      <w:r w:rsidR="008254FD">
        <w:t>–</w:t>
      </w:r>
      <w:r>
        <w:t xml:space="preserve"> </w:t>
      </w:r>
      <w:r w:rsidR="008254FD">
        <w:t xml:space="preserve">applies to around </w:t>
      </w:r>
      <w:r w:rsidR="404F76A9">
        <w:t>68</w:t>
      </w:r>
      <w:r w:rsidR="008254FD">
        <w:t xml:space="preserve"> of our dwellings - </w:t>
      </w:r>
      <w:r>
        <w:t xml:space="preserve">The rent for affordable rent housing (inclusive of service charges) must not exceed 80% </w:t>
      </w:r>
      <w:r>
        <w:lastRenderedPageBreak/>
        <w:t>of gross market rent. ‘Gross market rent’ means the rent (inclusive of any applicable service charges) for which the accommodation might reasonably be expected to be let in the private rented sector. Property size, location type and service provision must be taken into account when determining what gross market rent a property might achieve if let in the private rented sector.</w:t>
      </w:r>
    </w:p>
    <w:p w14:paraId="5F2C0286" w14:textId="77777777" w:rsidR="000602B2" w:rsidRPr="00572DC5" w:rsidRDefault="000602B2" w:rsidP="00104315">
      <w:pPr>
        <w:pStyle w:val="ListParagraph"/>
        <w:ind w:left="709" w:hanging="709"/>
        <w:jc w:val="both"/>
      </w:pPr>
    </w:p>
    <w:p w14:paraId="577B08BC" w14:textId="77777777" w:rsidR="00CA5DB0" w:rsidRPr="00572DC5" w:rsidRDefault="39C4D2A6" w:rsidP="00851939">
      <w:pPr>
        <w:pStyle w:val="ListParagraph"/>
        <w:numPr>
          <w:ilvl w:val="0"/>
          <w:numId w:val="53"/>
        </w:numPr>
        <w:ind w:left="426" w:hanging="426"/>
      </w:pPr>
      <w:r>
        <w:t>The HRA must adhere to these restrictions and caps on rent increases even if a tenant’s rent is below formula rent, or if the HRA has previously applied a lower – or no – annual increase. Where this is the case, the HRA may only move the rent up to formula rent when the property is re-let following vacancy (subject to the rent cap).</w:t>
      </w:r>
    </w:p>
    <w:p w14:paraId="4A81546E" w14:textId="77777777" w:rsidR="005B0941" w:rsidRPr="00572DC5" w:rsidRDefault="005B0941" w:rsidP="00104315">
      <w:pPr>
        <w:pStyle w:val="ListParagraph"/>
        <w:ind w:left="709" w:hanging="709"/>
      </w:pPr>
    </w:p>
    <w:p w14:paraId="45688C75" w14:textId="2A9252DB" w:rsidR="00A4766A" w:rsidRPr="00572DC5" w:rsidRDefault="39C4D2A6" w:rsidP="00851939">
      <w:pPr>
        <w:pStyle w:val="ListParagraph"/>
        <w:numPr>
          <w:ilvl w:val="0"/>
          <w:numId w:val="53"/>
        </w:numPr>
        <w:ind w:left="426" w:hanging="426"/>
      </w:pPr>
      <w:r>
        <w:t>The table below demonstrates the amount of rental income foregone as a result of these restrictions.</w:t>
      </w:r>
    </w:p>
    <w:p w14:paraId="58AA1BFB" w14:textId="77777777" w:rsidR="00FE7CC9" w:rsidRPr="00572DC5" w:rsidRDefault="00FE7CC9" w:rsidP="00DD2FE0">
      <w:pPr>
        <w:ind w:left="720" w:hanging="720"/>
        <w:jc w:val="both"/>
      </w:pPr>
    </w:p>
    <w:tbl>
      <w:tblPr>
        <w:tblStyle w:val="TableGrid"/>
        <w:tblW w:w="8771" w:type="dxa"/>
        <w:tblInd w:w="704" w:type="dxa"/>
        <w:tblLook w:val="04A0" w:firstRow="1" w:lastRow="0" w:firstColumn="1" w:lastColumn="0" w:noHBand="0" w:noVBand="1"/>
      </w:tblPr>
      <w:tblGrid>
        <w:gridCol w:w="1642"/>
        <w:gridCol w:w="2070"/>
        <w:gridCol w:w="2438"/>
        <w:gridCol w:w="2621"/>
      </w:tblGrid>
      <w:tr w:rsidR="00893574" w:rsidRPr="00572DC5" w14:paraId="13C23288" w14:textId="77777777" w:rsidTr="3050D374">
        <w:trPr>
          <w:trHeight w:val="300"/>
        </w:trPr>
        <w:tc>
          <w:tcPr>
            <w:tcW w:w="8771" w:type="dxa"/>
            <w:gridSpan w:val="4"/>
            <w:shd w:val="clear" w:color="auto" w:fill="D9D9D9" w:themeFill="background1" w:themeFillShade="D9"/>
          </w:tcPr>
          <w:p w14:paraId="35CCFAE7" w14:textId="2736E4EA" w:rsidR="00893574" w:rsidRPr="00572DC5" w:rsidRDefault="1278DF05" w:rsidP="60EA432F">
            <w:pPr>
              <w:rPr>
                <w:rFonts w:asciiTheme="minorHAnsi" w:hAnsiTheme="minorHAnsi" w:cstheme="minorBidi"/>
                <w:b/>
                <w:sz w:val="22"/>
                <w:szCs w:val="22"/>
              </w:rPr>
            </w:pPr>
            <w:r w:rsidRPr="13A39E62">
              <w:rPr>
                <w:rFonts w:asciiTheme="minorHAnsi" w:hAnsiTheme="minorHAnsi" w:cstheme="minorBidi"/>
                <w:b/>
                <w:sz w:val="22"/>
                <w:szCs w:val="22"/>
              </w:rPr>
              <w:t>Table</w:t>
            </w:r>
            <w:r w:rsidR="00BF41D9">
              <w:rPr>
                <w:rFonts w:asciiTheme="minorHAnsi" w:hAnsiTheme="minorHAnsi" w:cstheme="minorBidi"/>
                <w:b/>
                <w:sz w:val="22"/>
                <w:szCs w:val="22"/>
              </w:rPr>
              <w:t xml:space="preserve"> 1</w:t>
            </w:r>
            <w:r w:rsidR="009004FF">
              <w:rPr>
                <w:rFonts w:asciiTheme="minorHAnsi" w:hAnsiTheme="minorHAnsi" w:cstheme="minorBidi"/>
                <w:b/>
                <w:sz w:val="22"/>
                <w:szCs w:val="22"/>
              </w:rPr>
              <w:t>0</w:t>
            </w:r>
            <w:r w:rsidR="00BF41D9">
              <w:rPr>
                <w:rFonts w:asciiTheme="minorHAnsi" w:hAnsiTheme="minorHAnsi" w:cstheme="minorBidi"/>
                <w:b/>
                <w:sz w:val="22"/>
                <w:szCs w:val="22"/>
              </w:rPr>
              <w:t xml:space="preserve"> </w:t>
            </w:r>
            <w:r w:rsidRPr="13A39E62">
              <w:rPr>
                <w:rFonts w:asciiTheme="minorHAnsi" w:hAnsiTheme="minorHAnsi" w:cstheme="minorBidi"/>
                <w:b/>
                <w:sz w:val="22"/>
                <w:szCs w:val="22"/>
              </w:rPr>
              <w:t xml:space="preserve"> </w:t>
            </w:r>
            <w:r w:rsidR="7E9D9997" w:rsidRPr="13A39E62">
              <w:rPr>
                <w:rFonts w:asciiTheme="minorHAnsi" w:hAnsiTheme="minorHAnsi" w:cstheme="minorBidi"/>
                <w:b/>
                <w:sz w:val="22"/>
                <w:szCs w:val="22"/>
              </w:rPr>
              <w:t xml:space="preserve">: </w:t>
            </w:r>
            <w:r w:rsidR="4EDFDDBA" w:rsidRPr="13A39E62">
              <w:rPr>
                <w:rFonts w:asciiTheme="minorHAnsi" w:hAnsiTheme="minorHAnsi" w:cstheme="minorBidi"/>
                <w:b/>
                <w:sz w:val="22"/>
                <w:szCs w:val="22"/>
              </w:rPr>
              <w:t xml:space="preserve"> Rental Income Foregone</w:t>
            </w:r>
          </w:p>
        </w:tc>
      </w:tr>
      <w:tr w:rsidR="00A4766A" w:rsidRPr="00572DC5" w14:paraId="0170329C" w14:textId="77777777" w:rsidTr="3050D374">
        <w:trPr>
          <w:trHeight w:val="300"/>
        </w:trPr>
        <w:tc>
          <w:tcPr>
            <w:tcW w:w="1642" w:type="dxa"/>
            <w:shd w:val="clear" w:color="auto" w:fill="D9D9D9" w:themeFill="background1" w:themeFillShade="D9"/>
          </w:tcPr>
          <w:p w14:paraId="56E138DF" w14:textId="77777777" w:rsidR="00A4766A" w:rsidRPr="00572DC5" w:rsidRDefault="00A4766A" w:rsidP="005D0A34">
            <w:pPr>
              <w:rPr>
                <w:rFonts w:asciiTheme="minorHAnsi" w:hAnsiTheme="minorHAnsi" w:cstheme="minorBidi"/>
                <w:sz w:val="22"/>
                <w:szCs w:val="22"/>
              </w:rPr>
            </w:pPr>
          </w:p>
        </w:tc>
        <w:tc>
          <w:tcPr>
            <w:tcW w:w="2070" w:type="dxa"/>
            <w:shd w:val="clear" w:color="auto" w:fill="D9D9D9" w:themeFill="background1" w:themeFillShade="D9"/>
          </w:tcPr>
          <w:p w14:paraId="194FB116" w14:textId="77777777" w:rsidR="00A4766A" w:rsidRPr="00572DC5" w:rsidRDefault="00A4766A" w:rsidP="005D0A34">
            <w:pPr>
              <w:jc w:val="center"/>
              <w:rPr>
                <w:rFonts w:asciiTheme="minorHAnsi" w:hAnsiTheme="minorHAnsi" w:cstheme="minorBidi"/>
                <w:b/>
                <w:sz w:val="22"/>
                <w:szCs w:val="22"/>
              </w:rPr>
            </w:pPr>
            <w:r w:rsidRPr="13A39E62">
              <w:rPr>
                <w:rFonts w:asciiTheme="minorHAnsi" w:hAnsiTheme="minorHAnsi" w:cstheme="minorBidi"/>
                <w:b/>
                <w:sz w:val="22"/>
                <w:szCs w:val="22"/>
              </w:rPr>
              <w:t>Number of Properties</w:t>
            </w:r>
          </w:p>
        </w:tc>
        <w:tc>
          <w:tcPr>
            <w:tcW w:w="2438" w:type="dxa"/>
            <w:shd w:val="clear" w:color="auto" w:fill="D9D9D9" w:themeFill="background1" w:themeFillShade="D9"/>
          </w:tcPr>
          <w:p w14:paraId="214945F4" w14:textId="77777777" w:rsidR="00A4766A" w:rsidRPr="00572DC5" w:rsidRDefault="00A4766A" w:rsidP="005D0A34">
            <w:pPr>
              <w:jc w:val="center"/>
              <w:rPr>
                <w:rFonts w:asciiTheme="minorHAnsi" w:hAnsiTheme="minorHAnsi" w:cstheme="minorBidi"/>
                <w:b/>
                <w:sz w:val="22"/>
                <w:szCs w:val="22"/>
              </w:rPr>
            </w:pPr>
            <w:r w:rsidRPr="13A39E62">
              <w:rPr>
                <w:rFonts w:asciiTheme="minorHAnsi" w:hAnsiTheme="minorHAnsi" w:cstheme="minorBidi"/>
                <w:b/>
                <w:sz w:val="22"/>
                <w:szCs w:val="22"/>
              </w:rPr>
              <w:t>Total Weekly Rent Foregone</w:t>
            </w:r>
          </w:p>
        </w:tc>
        <w:tc>
          <w:tcPr>
            <w:tcW w:w="2621" w:type="dxa"/>
            <w:shd w:val="clear" w:color="auto" w:fill="D9D9D9" w:themeFill="background1" w:themeFillShade="D9"/>
          </w:tcPr>
          <w:p w14:paraId="130D5485" w14:textId="77777777" w:rsidR="00A4766A" w:rsidRPr="00572DC5" w:rsidRDefault="00A4766A" w:rsidP="005D0A34">
            <w:pPr>
              <w:jc w:val="center"/>
              <w:rPr>
                <w:rFonts w:asciiTheme="minorHAnsi" w:hAnsiTheme="minorHAnsi" w:cstheme="minorBidi"/>
                <w:b/>
                <w:sz w:val="22"/>
                <w:szCs w:val="22"/>
              </w:rPr>
            </w:pPr>
            <w:r w:rsidRPr="13A39E62">
              <w:rPr>
                <w:rFonts w:asciiTheme="minorHAnsi" w:hAnsiTheme="minorHAnsi" w:cstheme="minorBidi"/>
                <w:b/>
                <w:sz w:val="22"/>
                <w:szCs w:val="22"/>
              </w:rPr>
              <w:t>Total Annual Rental Income Foregone</w:t>
            </w:r>
          </w:p>
        </w:tc>
      </w:tr>
      <w:tr w:rsidR="3050D374" w14:paraId="28A4CD69" w14:textId="77777777" w:rsidTr="3050D374">
        <w:trPr>
          <w:trHeight w:val="300"/>
        </w:trPr>
        <w:tc>
          <w:tcPr>
            <w:tcW w:w="1642" w:type="dxa"/>
            <w:shd w:val="clear" w:color="auto" w:fill="FFFFFF" w:themeFill="background1"/>
          </w:tcPr>
          <w:p w14:paraId="3479AA4D" w14:textId="47C48DEF" w:rsidR="3B422773" w:rsidRDefault="3B422773" w:rsidP="3050D374">
            <w:pPr>
              <w:rPr>
                <w:rFonts w:asciiTheme="minorHAnsi" w:hAnsiTheme="minorHAnsi" w:cstheme="minorBidi"/>
                <w:sz w:val="22"/>
                <w:szCs w:val="22"/>
              </w:rPr>
            </w:pPr>
            <w:r w:rsidRPr="3050D374">
              <w:rPr>
                <w:rFonts w:asciiTheme="minorHAnsi" w:hAnsiTheme="minorHAnsi" w:cstheme="minorBidi"/>
                <w:sz w:val="22"/>
                <w:szCs w:val="22"/>
              </w:rPr>
              <w:t xml:space="preserve">Actual Rent is less than Formula Rent  </w:t>
            </w:r>
          </w:p>
        </w:tc>
        <w:tc>
          <w:tcPr>
            <w:tcW w:w="2070" w:type="dxa"/>
            <w:shd w:val="clear" w:color="auto" w:fill="FFFFFF" w:themeFill="background1"/>
            <w:vAlign w:val="center"/>
          </w:tcPr>
          <w:p w14:paraId="693934AA" w14:textId="6C479CE1" w:rsidR="3B422773" w:rsidRDefault="3B422773" w:rsidP="3050D374">
            <w:pPr>
              <w:jc w:val="center"/>
              <w:rPr>
                <w:rFonts w:asciiTheme="minorHAnsi" w:hAnsiTheme="minorHAnsi" w:cstheme="minorBidi"/>
                <w:sz w:val="22"/>
                <w:szCs w:val="22"/>
              </w:rPr>
            </w:pPr>
            <w:r w:rsidRPr="3050D374">
              <w:rPr>
                <w:rFonts w:asciiTheme="minorHAnsi" w:hAnsiTheme="minorHAnsi" w:cstheme="minorBidi"/>
                <w:sz w:val="22"/>
                <w:szCs w:val="22"/>
              </w:rPr>
              <w:t>7,986</w:t>
            </w:r>
          </w:p>
        </w:tc>
        <w:tc>
          <w:tcPr>
            <w:tcW w:w="2438" w:type="dxa"/>
            <w:shd w:val="clear" w:color="auto" w:fill="FFFFFF" w:themeFill="background1"/>
            <w:vAlign w:val="center"/>
          </w:tcPr>
          <w:p w14:paraId="79D47E4C" w14:textId="2E15A0DA" w:rsidR="3B422773" w:rsidRDefault="3B422773" w:rsidP="3050D374">
            <w:pPr>
              <w:jc w:val="center"/>
              <w:rPr>
                <w:rFonts w:asciiTheme="minorHAnsi" w:hAnsiTheme="minorHAnsi" w:cstheme="minorBidi"/>
                <w:sz w:val="22"/>
                <w:szCs w:val="22"/>
              </w:rPr>
            </w:pPr>
            <w:r w:rsidRPr="3050D374">
              <w:rPr>
                <w:rFonts w:asciiTheme="minorHAnsi" w:hAnsiTheme="minorHAnsi" w:cstheme="minorBidi"/>
                <w:sz w:val="22"/>
                <w:szCs w:val="22"/>
              </w:rPr>
              <w:t xml:space="preserve">£77,385  </w:t>
            </w:r>
          </w:p>
        </w:tc>
        <w:tc>
          <w:tcPr>
            <w:tcW w:w="2621" w:type="dxa"/>
            <w:shd w:val="clear" w:color="auto" w:fill="FFFFFF" w:themeFill="background1"/>
            <w:vAlign w:val="center"/>
          </w:tcPr>
          <w:p w14:paraId="1ABA1602" w14:textId="375F2CCE" w:rsidR="3B422773" w:rsidRDefault="3B422773" w:rsidP="3050D374">
            <w:pPr>
              <w:jc w:val="center"/>
              <w:rPr>
                <w:rFonts w:asciiTheme="minorHAnsi" w:hAnsiTheme="minorHAnsi" w:cstheme="minorBidi"/>
                <w:sz w:val="22"/>
                <w:szCs w:val="22"/>
              </w:rPr>
            </w:pPr>
            <w:r w:rsidRPr="3050D374">
              <w:rPr>
                <w:rFonts w:asciiTheme="minorHAnsi" w:hAnsiTheme="minorHAnsi" w:cstheme="minorBidi"/>
                <w:sz w:val="22"/>
                <w:szCs w:val="22"/>
              </w:rPr>
              <w:t xml:space="preserve">£4,024,020  </w:t>
            </w:r>
          </w:p>
        </w:tc>
      </w:tr>
    </w:tbl>
    <w:p w14:paraId="32158C1B" w14:textId="77777777" w:rsidR="00A4766A" w:rsidRPr="00572DC5" w:rsidRDefault="00A4766A" w:rsidP="00A4766A">
      <w:pPr>
        <w:rPr>
          <w:highlight w:val="yellow"/>
        </w:rPr>
      </w:pPr>
    </w:p>
    <w:p w14:paraId="7682B8ED" w14:textId="16908DF7" w:rsidR="006A45E5" w:rsidRPr="00572DC5" w:rsidRDefault="006A45E5" w:rsidP="009C60DB">
      <w:pPr>
        <w:pStyle w:val="paragraph"/>
        <w:spacing w:before="0" w:beforeAutospacing="0" w:after="0" w:afterAutospacing="0"/>
        <w:ind w:left="720" w:hanging="720"/>
        <w:textAlignment w:val="baseline"/>
        <w:rPr>
          <w:rStyle w:val="eop"/>
          <w:rFonts w:ascii="Arial" w:hAnsi="Arial" w:cs="Arial"/>
          <w:b/>
          <w:color w:val="000000"/>
        </w:rPr>
      </w:pPr>
      <w:r w:rsidRPr="13A39E62">
        <w:rPr>
          <w:rStyle w:val="normaltextrun"/>
          <w:rFonts w:ascii="Arial" w:hAnsi="Arial" w:cs="Arial"/>
          <w:b/>
          <w:color w:val="000000" w:themeColor="text1"/>
        </w:rPr>
        <w:t>Rent Flexibility</w:t>
      </w:r>
      <w:r w:rsidRPr="13A39E62">
        <w:rPr>
          <w:rStyle w:val="eop"/>
          <w:rFonts w:ascii="Arial" w:hAnsi="Arial" w:cs="Arial"/>
          <w:b/>
          <w:color w:val="000000" w:themeColor="text1"/>
        </w:rPr>
        <w:t> </w:t>
      </w:r>
    </w:p>
    <w:p w14:paraId="341DEAA0" w14:textId="77777777" w:rsidR="009C60DB" w:rsidRPr="00572DC5" w:rsidRDefault="009C60DB" w:rsidP="009C60DB">
      <w:pPr>
        <w:pStyle w:val="paragraph"/>
        <w:spacing w:before="0" w:beforeAutospacing="0" w:after="0" w:afterAutospacing="0"/>
        <w:ind w:left="720"/>
        <w:textAlignment w:val="baseline"/>
        <w:rPr>
          <w:rFonts w:ascii="Arial" w:hAnsi="Arial" w:cs="Arial"/>
          <w:color w:val="000000"/>
        </w:rPr>
      </w:pPr>
    </w:p>
    <w:p w14:paraId="78DBA368" w14:textId="77777777" w:rsidR="005B0941" w:rsidRPr="00572DC5" w:rsidRDefault="01E5233B" w:rsidP="00851939">
      <w:pPr>
        <w:pStyle w:val="ListParagraph"/>
        <w:numPr>
          <w:ilvl w:val="0"/>
          <w:numId w:val="53"/>
        </w:numPr>
        <w:ind w:left="426" w:hanging="426"/>
        <w:rPr>
          <w:rStyle w:val="normaltextrun"/>
          <w:rFonts w:cs="Arial"/>
          <w:color w:val="000000"/>
        </w:rPr>
      </w:pPr>
      <w:r>
        <w:t>Landlords are permitted under the regulations to set rents at levels above the social formula rents where it has taken local factors, market conditions and affordability into account. For general needs accommodation a 5% flexibility is allowable</w:t>
      </w:r>
      <w:r w:rsidR="371C5BEB">
        <w:t xml:space="preserve"> which the Council already applies to new build housing. </w:t>
      </w:r>
      <w:r>
        <w:t>For supported housing, such as sheltered schemes a 10% flexibility is allowable.</w:t>
      </w:r>
    </w:p>
    <w:p w14:paraId="412254E0" w14:textId="77777777" w:rsidR="005B0941" w:rsidRPr="00572DC5" w:rsidRDefault="005B0941" w:rsidP="00104315">
      <w:pPr>
        <w:pStyle w:val="ListParagraph"/>
        <w:ind w:left="709" w:hanging="709"/>
        <w:rPr>
          <w:rStyle w:val="normaltextrun"/>
          <w:rFonts w:cs="Arial"/>
          <w:color w:val="000000"/>
        </w:rPr>
      </w:pPr>
    </w:p>
    <w:p w14:paraId="6110C6AE" w14:textId="683E8287" w:rsidR="006A45E5" w:rsidRPr="00572DC5" w:rsidRDefault="01E5233B" w:rsidP="00851939">
      <w:pPr>
        <w:pStyle w:val="ListParagraph"/>
        <w:numPr>
          <w:ilvl w:val="0"/>
          <w:numId w:val="53"/>
        </w:numPr>
        <w:ind w:left="426" w:hanging="426"/>
        <w:rPr>
          <w:rFonts w:cs="Arial"/>
          <w:color w:val="000000"/>
        </w:rPr>
      </w:pPr>
      <w:r w:rsidRPr="13A39E62">
        <w:rPr>
          <w:rStyle w:val="normaltextrun"/>
          <w:rFonts w:cs="Arial"/>
          <w:color w:val="000000" w:themeColor="text1"/>
        </w:rPr>
        <w:t>Not all our rents are at a level equal to the formula rent for the property. Where a property becomes vacant and is going to be let to a new tenant, the formula rent for the property shall be set at 105% of formula for general needs accommodation and 110% of formula for all supported housing units.</w:t>
      </w:r>
      <w:r w:rsidRPr="13A39E62">
        <w:rPr>
          <w:rStyle w:val="eop"/>
          <w:rFonts w:cs="Arial"/>
          <w:color w:val="000000" w:themeColor="text1"/>
        </w:rPr>
        <w:t> </w:t>
      </w:r>
    </w:p>
    <w:p w14:paraId="4DBC21FA" w14:textId="77777777" w:rsidR="006A45E5" w:rsidRPr="00572DC5" w:rsidRDefault="006A45E5" w:rsidP="00104315">
      <w:pPr>
        <w:ind w:left="709" w:hanging="709"/>
      </w:pPr>
    </w:p>
    <w:p w14:paraId="7DAB70BC" w14:textId="39FD0DCF" w:rsidR="00DD2FE0" w:rsidRDefault="00B6421A" w:rsidP="00851939">
      <w:pPr>
        <w:pStyle w:val="ListParagraph"/>
        <w:numPr>
          <w:ilvl w:val="0"/>
          <w:numId w:val="53"/>
        </w:numPr>
        <w:ind w:left="426" w:hanging="426"/>
        <w:rPr>
          <w:rFonts w:cs="Arial"/>
        </w:rPr>
      </w:pPr>
      <w:r w:rsidRPr="381A1FF6">
        <w:rPr>
          <w:rFonts w:cs="Arial"/>
        </w:rPr>
        <w:t xml:space="preserve">For planning </w:t>
      </w:r>
      <w:r w:rsidR="009046B9" w:rsidRPr="381A1FF6">
        <w:rPr>
          <w:rFonts w:cs="Arial"/>
        </w:rPr>
        <w:t>purposes,</w:t>
      </w:r>
      <w:r w:rsidRPr="381A1FF6">
        <w:rPr>
          <w:rFonts w:cs="Arial"/>
        </w:rPr>
        <w:t xml:space="preserve"> the assumed rent increase for 202</w:t>
      </w:r>
      <w:r w:rsidR="34C59CE3" w:rsidRPr="381A1FF6">
        <w:rPr>
          <w:rFonts w:cs="Arial"/>
        </w:rPr>
        <w:t>6</w:t>
      </w:r>
      <w:r w:rsidRPr="381A1FF6">
        <w:rPr>
          <w:rFonts w:cs="Arial"/>
        </w:rPr>
        <w:t>-2</w:t>
      </w:r>
      <w:r w:rsidR="27318087" w:rsidRPr="381A1FF6">
        <w:rPr>
          <w:rFonts w:cs="Arial"/>
        </w:rPr>
        <w:t>7</w:t>
      </w:r>
      <w:r w:rsidRPr="381A1FF6">
        <w:rPr>
          <w:rFonts w:cs="Arial"/>
        </w:rPr>
        <w:t xml:space="preserve"> is assumed to be </w:t>
      </w:r>
      <w:r w:rsidR="74BF250F" w:rsidRPr="381A1FF6">
        <w:rPr>
          <w:rFonts w:cs="Arial"/>
        </w:rPr>
        <w:t>4.8</w:t>
      </w:r>
      <w:r w:rsidRPr="381A1FF6">
        <w:rPr>
          <w:rFonts w:cs="Arial"/>
        </w:rPr>
        <w:t xml:space="preserve">% with increases of </w:t>
      </w:r>
      <w:r w:rsidR="57700D3A" w:rsidRPr="381A1FF6">
        <w:rPr>
          <w:rFonts w:cs="Arial"/>
        </w:rPr>
        <w:t>3</w:t>
      </w:r>
      <w:r w:rsidR="00651836" w:rsidRPr="381A1FF6">
        <w:rPr>
          <w:rFonts w:cs="Arial"/>
        </w:rPr>
        <w:t>%</w:t>
      </w:r>
      <w:r w:rsidRPr="381A1FF6">
        <w:rPr>
          <w:rFonts w:cs="Arial"/>
        </w:rPr>
        <w:t xml:space="preserve"> assumed for future years. The impact on current rents of this </w:t>
      </w:r>
      <w:r w:rsidRPr="006C39D9">
        <w:rPr>
          <w:rFonts w:cs="Arial"/>
        </w:rPr>
        <w:t>increase</w:t>
      </w:r>
      <w:r w:rsidR="00326AEA" w:rsidRPr="006C39D9">
        <w:rPr>
          <w:rFonts w:cs="Arial"/>
        </w:rPr>
        <w:t xml:space="preserve"> </w:t>
      </w:r>
      <w:r w:rsidR="0076326E" w:rsidRPr="006C39D9">
        <w:rPr>
          <w:rFonts w:cs="Arial"/>
        </w:rPr>
        <w:t>t</w:t>
      </w:r>
      <w:r w:rsidR="00326AEA" w:rsidRPr="006C39D9">
        <w:rPr>
          <w:rFonts w:cs="Arial"/>
        </w:rPr>
        <w:t>ogether with an allowan</w:t>
      </w:r>
      <w:r w:rsidR="0076326E" w:rsidRPr="006C39D9">
        <w:rPr>
          <w:rFonts w:cs="Arial"/>
        </w:rPr>
        <w:t>ce</w:t>
      </w:r>
      <w:r w:rsidR="00326AEA" w:rsidRPr="006C39D9">
        <w:rPr>
          <w:rFonts w:cs="Arial"/>
        </w:rPr>
        <w:t xml:space="preserve"> of £2 per week </w:t>
      </w:r>
      <w:r w:rsidR="0076326E" w:rsidRPr="006C39D9">
        <w:rPr>
          <w:rFonts w:cs="Arial"/>
        </w:rPr>
        <w:t xml:space="preserve">for movement towards formula rent results in an average increase of </w:t>
      </w:r>
      <w:r w:rsidR="006C39D9" w:rsidRPr="006C39D9">
        <w:rPr>
          <w:rFonts w:cs="Arial"/>
        </w:rPr>
        <w:t>£8.47 per week, details of which</w:t>
      </w:r>
      <w:r w:rsidRPr="006C39D9">
        <w:rPr>
          <w:rFonts w:cs="Arial"/>
        </w:rPr>
        <w:t xml:space="preserve"> is shown in Appendix 5.</w:t>
      </w:r>
      <w:r w:rsidR="00B519B5" w:rsidRPr="006C39D9">
        <w:rPr>
          <w:rFonts w:cs="Arial"/>
        </w:rPr>
        <w:t xml:space="preserve"> </w:t>
      </w:r>
    </w:p>
    <w:p w14:paraId="119B0CEC" w14:textId="77777777" w:rsidR="00B26E32" w:rsidRPr="00B26E32" w:rsidRDefault="00B26E32" w:rsidP="00B26E32">
      <w:pPr>
        <w:pStyle w:val="ListParagraph"/>
        <w:rPr>
          <w:rFonts w:cs="Arial"/>
        </w:rPr>
      </w:pPr>
    </w:p>
    <w:p w14:paraId="4E2F8F58" w14:textId="77777777" w:rsidR="00B26E32" w:rsidRPr="006C39D9" w:rsidRDefault="00B26E32" w:rsidP="00B26E32">
      <w:pPr>
        <w:pStyle w:val="ListParagraph"/>
        <w:ind w:left="426"/>
        <w:rPr>
          <w:rFonts w:cs="Arial"/>
        </w:rPr>
      </w:pPr>
    </w:p>
    <w:p w14:paraId="2A2B3728" w14:textId="77777777" w:rsidR="006A45E5" w:rsidRPr="00572DC5" w:rsidRDefault="006A45E5" w:rsidP="00104315">
      <w:pPr>
        <w:ind w:left="709" w:hanging="709"/>
        <w:rPr>
          <w:rFonts w:cs="Arial"/>
        </w:rPr>
      </w:pPr>
    </w:p>
    <w:p w14:paraId="62D5A80D" w14:textId="77777777" w:rsidR="004472CF" w:rsidRPr="00572DC5" w:rsidRDefault="004472CF" w:rsidP="004472CF">
      <w:pPr>
        <w:pStyle w:val="ListParagraph"/>
        <w:ind w:left="709"/>
        <w:rPr>
          <w:rFonts w:cs="Arial"/>
          <w:b/>
        </w:rPr>
      </w:pPr>
      <w:r w:rsidRPr="13A39E62">
        <w:rPr>
          <w:rFonts w:cs="Arial"/>
          <w:b/>
        </w:rPr>
        <w:t>Shared Ownership Dwellings</w:t>
      </w:r>
    </w:p>
    <w:p w14:paraId="032A16DE" w14:textId="77777777" w:rsidR="00CA041B" w:rsidRPr="00572DC5" w:rsidRDefault="00CA041B" w:rsidP="00CA041B">
      <w:pPr>
        <w:pStyle w:val="ListParagraph"/>
        <w:rPr>
          <w:rFonts w:cs="Arial"/>
        </w:rPr>
      </w:pPr>
    </w:p>
    <w:p w14:paraId="6901D49D" w14:textId="0F6CCB01" w:rsidR="00DC0C96" w:rsidRPr="00572DC5" w:rsidRDefault="00DC0C96" w:rsidP="00851939">
      <w:pPr>
        <w:pStyle w:val="ListParagraph"/>
        <w:numPr>
          <w:ilvl w:val="0"/>
          <w:numId w:val="53"/>
        </w:numPr>
        <w:ind w:left="426" w:hanging="426"/>
        <w:rPr>
          <w:rFonts w:cs="Arial"/>
        </w:rPr>
      </w:pPr>
      <w:r w:rsidRPr="381A1FF6">
        <w:rPr>
          <w:rFonts w:cs="Arial"/>
        </w:rPr>
        <w:t>The rent increase for Shared Ownership will be CPI + 1% based on the CPI rate for the 12 months to the end of September 202</w:t>
      </w:r>
      <w:r w:rsidR="5A7B50DE" w:rsidRPr="381A1FF6">
        <w:rPr>
          <w:rFonts w:cs="Arial"/>
        </w:rPr>
        <w:t>5</w:t>
      </w:r>
      <w:r w:rsidRPr="381A1FF6">
        <w:rPr>
          <w:rFonts w:cs="Arial"/>
        </w:rPr>
        <w:t>. This will only apply for shared ownership properties owned for the whole of the preceding 12 months (</w:t>
      </w:r>
      <w:r w:rsidR="008009B9" w:rsidRPr="381A1FF6">
        <w:rPr>
          <w:rFonts w:cs="Arial"/>
        </w:rPr>
        <w:t>i.e.</w:t>
      </w:r>
      <w:r w:rsidRPr="381A1FF6">
        <w:rPr>
          <w:rFonts w:cs="Arial"/>
        </w:rPr>
        <w:t xml:space="preserve"> before 1st October 202</w:t>
      </w:r>
      <w:r w:rsidR="474F428F" w:rsidRPr="381A1FF6">
        <w:rPr>
          <w:rFonts w:cs="Arial"/>
        </w:rPr>
        <w:t>4</w:t>
      </w:r>
      <w:r w:rsidRPr="381A1FF6">
        <w:rPr>
          <w:rFonts w:cs="Arial"/>
        </w:rPr>
        <w:t xml:space="preserve">). For properties purchased after the </w:t>
      </w:r>
      <w:r w:rsidR="55681AF9" w:rsidRPr="381A1FF6">
        <w:rPr>
          <w:rFonts w:cs="Arial"/>
        </w:rPr>
        <w:t>1</w:t>
      </w:r>
      <w:r w:rsidR="55681AF9" w:rsidRPr="381A1FF6">
        <w:rPr>
          <w:rFonts w:cs="Arial"/>
          <w:vertAlign w:val="superscript"/>
        </w:rPr>
        <w:t>st</w:t>
      </w:r>
      <w:r w:rsidR="55681AF9" w:rsidRPr="381A1FF6">
        <w:rPr>
          <w:rFonts w:cs="Arial"/>
        </w:rPr>
        <w:t xml:space="preserve"> October</w:t>
      </w:r>
      <w:r w:rsidRPr="381A1FF6">
        <w:rPr>
          <w:rFonts w:cs="Arial"/>
        </w:rPr>
        <w:t xml:space="preserve"> 202</w:t>
      </w:r>
      <w:r w:rsidR="184E997B" w:rsidRPr="381A1FF6">
        <w:rPr>
          <w:rFonts w:cs="Arial"/>
        </w:rPr>
        <w:t>4</w:t>
      </w:r>
      <w:r w:rsidRPr="381A1FF6">
        <w:rPr>
          <w:rFonts w:cs="Arial"/>
        </w:rPr>
        <w:t xml:space="preserve"> the increase for 202</w:t>
      </w:r>
      <w:r w:rsidR="51532E60" w:rsidRPr="381A1FF6">
        <w:rPr>
          <w:rFonts w:cs="Arial"/>
        </w:rPr>
        <w:t>6</w:t>
      </w:r>
      <w:r w:rsidRPr="381A1FF6">
        <w:rPr>
          <w:rFonts w:cs="Arial"/>
        </w:rPr>
        <w:t>/2</w:t>
      </w:r>
      <w:r w:rsidR="7C1B1074" w:rsidRPr="381A1FF6">
        <w:rPr>
          <w:rFonts w:cs="Arial"/>
        </w:rPr>
        <w:t>7</w:t>
      </w:r>
      <w:r w:rsidRPr="381A1FF6">
        <w:rPr>
          <w:rFonts w:cs="Arial"/>
        </w:rPr>
        <w:t xml:space="preserve"> will be 0.5%.</w:t>
      </w:r>
    </w:p>
    <w:p w14:paraId="0C18CDFE" w14:textId="77777777" w:rsidR="00A605BA" w:rsidRPr="00572DC5" w:rsidRDefault="00A605BA" w:rsidP="00104315">
      <w:pPr>
        <w:ind w:left="709" w:hanging="709"/>
        <w:rPr>
          <w:rFonts w:cs="Arial"/>
        </w:rPr>
      </w:pPr>
    </w:p>
    <w:p w14:paraId="52D555F4" w14:textId="1ED5EF58" w:rsidR="00493F14" w:rsidRPr="00572DC5" w:rsidRDefault="00DC0C96" w:rsidP="00851939">
      <w:pPr>
        <w:pStyle w:val="ListParagraph"/>
        <w:numPr>
          <w:ilvl w:val="0"/>
          <w:numId w:val="53"/>
        </w:numPr>
        <w:ind w:left="426" w:hanging="426"/>
        <w:rPr>
          <w:rFonts w:cs="Arial"/>
        </w:rPr>
      </w:pPr>
      <w:r w:rsidRPr="381A1FF6">
        <w:rPr>
          <w:rFonts w:cs="Arial"/>
        </w:rPr>
        <w:lastRenderedPageBreak/>
        <w:t>The rent rise included in the Consultation Budget under these agreements is effectively an increase of 0.5% for properties less than 12 months old (as at 30th September 202</w:t>
      </w:r>
      <w:r w:rsidR="5AEF74BE" w:rsidRPr="381A1FF6">
        <w:rPr>
          <w:rFonts w:cs="Arial"/>
        </w:rPr>
        <w:t>5</w:t>
      </w:r>
      <w:r w:rsidRPr="381A1FF6">
        <w:rPr>
          <w:rFonts w:cs="Arial"/>
        </w:rPr>
        <w:t xml:space="preserve">) of which the council currently has </w:t>
      </w:r>
      <w:r w:rsidR="35184DA3" w:rsidRPr="381A1FF6">
        <w:rPr>
          <w:rFonts w:cs="Arial"/>
        </w:rPr>
        <w:t>4</w:t>
      </w:r>
      <w:r w:rsidRPr="381A1FF6">
        <w:rPr>
          <w:rFonts w:cs="Arial"/>
        </w:rPr>
        <w:t xml:space="preserve"> such properties and CPI + 1% (</w:t>
      </w:r>
      <w:r w:rsidR="4CB43E2A" w:rsidRPr="381A1FF6">
        <w:rPr>
          <w:rFonts w:cs="Arial"/>
        </w:rPr>
        <w:t>4</w:t>
      </w:r>
      <w:r w:rsidRPr="381A1FF6">
        <w:rPr>
          <w:rFonts w:cs="Arial"/>
        </w:rPr>
        <w:t>.</w:t>
      </w:r>
      <w:r w:rsidR="03C82770" w:rsidRPr="381A1FF6">
        <w:rPr>
          <w:rFonts w:cs="Arial"/>
        </w:rPr>
        <w:t>8</w:t>
      </w:r>
      <w:r w:rsidRPr="381A1FF6">
        <w:rPr>
          <w:rFonts w:cs="Arial"/>
        </w:rPr>
        <w:t xml:space="preserve">%) for older properties of which the council has </w:t>
      </w:r>
      <w:r w:rsidR="67CD75D7" w:rsidRPr="381A1FF6">
        <w:rPr>
          <w:rFonts w:cs="Arial"/>
        </w:rPr>
        <w:t>64</w:t>
      </w:r>
      <w:r w:rsidRPr="381A1FF6">
        <w:rPr>
          <w:rFonts w:cs="Arial"/>
        </w:rPr>
        <w:t xml:space="preserve"> properties</w:t>
      </w:r>
    </w:p>
    <w:p w14:paraId="301069EF" w14:textId="77777777" w:rsidR="00A605BA" w:rsidRPr="00572DC5" w:rsidRDefault="00A605BA" w:rsidP="002B7D72">
      <w:pPr>
        <w:autoSpaceDE w:val="0"/>
        <w:autoSpaceDN w:val="0"/>
        <w:adjustRightInd w:val="0"/>
        <w:ind w:left="709" w:right="380" w:hanging="709"/>
        <w:rPr>
          <w:rFonts w:cs="Arial"/>
          <w:b/>
          <w:highlight w:val="yellow"/>
        </w:rPr>
      </w:pPr>
    </w:p>
    <w:p w14:paraId="5D4F5D76" w14:textId="22D4945B" w:rsidR="00CB383F" w:rsidRPr="00572DC5" w:rsidRDefault="00A605BA" w:rsidP="002B7D72">
      <w:pPr>
        <w:autoSpaceDE w:val="0"/>
        <w:autoSpaceDN w:val="0"/>
        <w:adjustRightInd w:val="0"/>
        <w:ind w:left="709" w:right="380" w:hanging="709"/>
        <w:rPr>
          <w:rFonts w:cs="Arial"/>
          <w:b/>
        </w:rPr>
      </w:pPr>
      <w:r w:rsidRPr="13A39E62">
        <w:rPr>
          <w:rFonts w:cs="Arial"/>
          <w:b/>
        </w:rPr>
        <w:t>R</w:t>
      </w:r>
      <w:r w:rsidR="00776FF8" w:rsidRPr="13A39E62">
        <w:rPr>
          <w:rFonts w:cs="Arial"/>
          <w:b/>
        </w:rPr>
        <w:t xml:space="preserve">ight </w:t>
      </w:r>
      <w:r w:rsidR="00F66C46" w:rsidRPr="13A39E62">
        <w:rPr>
          <w:rFonts w:cs="Arial"/>
          <w:b/>
        </w:rPr>
        <w:t>to</w:t>
      </w:r>
      <w:r w:rsidR="00776FF8" w:rsidRPr="13A39E62">
        <w:rPr>
          <w:rFonts w:cs="Arial"/>
          <w:b/>
        </w:rPr>
        <w:t xml:space="preserve"> Buy</w:t>
      </w:r>
      <w:r w:rsidR="00164388" w:rsidRPr="13A39E62">
        <w:rPr>
          <w:rFonts w:cs="Arial"/>
          <w:b/>
        </w:rPr>
        <w:t xml:space="preserve"> and other disposals</w:t>
      </w:r>
    </w:p>
    <w:p w14:paraId="48C16051" w14:textId="77777777" w:rsidR="002B7D72" w:rsidRPr="00572DC5" w:rsidRDefault="002B7D72" w:rsidP="002B7D72">
      <w:pPr>
        <w:autoSpaceDE w:val="0"/>
        <w:autoSpaceDN w:val="0"/>
        <w:adjustRightInd w:val="0"/>
        <w:ind w:left="709" w:right="380" w:hanging="709"/>
        <w:rPr>
          <w:rFonts w:cs="Arial"/>
          <w:b/>
        </w:rPr>
      </w:pPr>
    </w:p>
    <w:p w14:paraId="4075C7E4" w14:textId="5D59B552" w:rsidR="00A71FEB" w:rsidRPr="00572DC5" w:rsidRDefault="00ED2696" w:rsidP="00851939">
      <w:pPr>
        <w:pStyle w:val="ListParagraph"/>
        <w:numPr>
          <w:ilvl w:val="0"/>
          <w:numId w:val="53"/>
        </w:numPr>
        <w:autoSpaceDE w:val="0"/>
        <w:autoSpaceDN w:val="0"/>
        <w:adjustRightInd w:val="0"/>
        <w:ind w:left="426" w:right="380" w:hanging="426"/>
        <w:rPr>
          <w:rFonts w:cs="Arial"/>
        </w:rPr>
      </w:pPr>
      <w:r w:rsidRPr="13A39E62">
        <w:rPr>
          <w:rFonts w:cs="Arial"/>
        </w:rPr>
        <w:t>Disposal of around 20 dwellings per year is assumed from 202</w:t>
      </w:r>
      <w:r w:rsidR="4EB0F8B8" w:rsidRPr="13A39E62">
        <w:rPr>
          <w:rFonts w:cs="Arial"/>
        </w:rPr>
        <w:t>6</w:t>
      </w:r>
      <w:r w:rsidRPr="13A39E62">
        <w:rPr>
          <w:rFonts w:cs="Arial"/>
        </w:rPr>
        <w:t>-2</w:t>
      </w:r>
      <w:r w:rsidR="6623AC21" w:rsidRPr="13A39E62">
        <w:rPr>
          <w:rFonts w:cs="Arial"/>
        </w:rPr>
        <w:t>7</w:t>
      </w:r>
      <w:r w:rsidRPr="13A39E62">
        <w:rPr>
          <w:rFonts w:cs="Arial"/>
        </w:rPr>
        <w:t xml:space="preserve"> onwards</w:t>
      </w:r>
      <w:r w:rsidR="48BA8AB3" w:rsidRPr="13A39E62">
        <w:rPr>
          <w:rFonts w:cs="Arial"/>
        </w:rPr>
        <w:t xml:space="preserve"> although this may be optimistic given the recent reduction to the discount rates</w:t>
      </w:r>
      <w:r w:rsidRPr="13A39E62">
        <w:rPr>
          <w:rFonts w:cs="Arial"/>
        </w:rPr>
        <w:t>. Within the development programmes to be purchased from OX Place, there will be shared ownerships on most of the schemes. The Council will receive a capital receipt from the initial element purchased by the homeowner. There will also be additional capital receipts if the homeowners opt to make additional investment in the share of their home known as ‘stair</w:t>
      </w:r>
      <w:r w:rsidR="68104480" w:rsidRPr="13A39E62">
        <w:rPr>
          <w:rFonts w:cs="Arial"/>
        </w:rPr>
        <w:t>-</w:t>
      </w:r>
      <w:r w:rsidRPr="13A39E62">
        <w:rPr>
          <w:rFonts w:cs="Arial"/>
        </w:rPr>
        <w:t>casing’ enabling the homeowner to own a greater proportion of their home.</w:t>
      </w:r>
    </w:p>
    <w:p w14:paraId="7C266818" w14:textId="77777777" w:rsidR="00A71FEB" w:rsidRPr="00572DC5" w:rsidRDefault="00A71FEB" w:rsidP="00104315">
      <w:pPr>
        <w:pStyle w:val="ListParagraph"/>
        <w:autoSpaceDE w:val="0"/>
        <w:autoSpaceDN w:val="0"/>
        <w:adjustRightInd w:val="0"/>
        <w:ind w:left="709" w:right="380" w:hanging="709"/>
        <w:rPr>
          <w:rFonts w:cs="Arial"/>
        </w:rPr>
      </w:pPr>
    </w:p>
    <w:p w14:paraId="6C1CDF80" w14:textId="5EAC3512" w:rsidR="6844BB64" w:rsidRPr="00572DC5" w:rsidRDefault="081ABC21" w:rsidP="00851939">
      <w:pPr>
        <w:pStyle w:val="ListParagraph"/>
        <w:numPr>
          <w:ilvl w:val="0"/>
          <w:numId w:val="53"/>
        </w:numPr>
        <w:autoSpaceDE w:val="0"/>
        <w:autoSpaceDN w:val="0"/>
        <w:adjustRightInd w:val="0"/>
        <w:ind w:left="426" w:right="380" w:hanging="426"/>
        <w:rPr>
          <w:rFonts w:cs="Arial"/>
        </w:rPr>
      </w:pPr>
      <w:r w:rsidRPr="13A39E62">
        <w:rPr>
          <w:rFonts w:cs="Arial"/>
        </w:rPr>
        <w:t>L</w:t>
      </w:r>
      <w:r w:rsidR="6844BB64" w:rsidRPr="13A39E62">
        <w:rPr>
          <w:rFonts w:cs="Arial"/>
        </w:rPr>
        <w:t>ocal authorities are now able to retain 100% of capital receipts, although the maximum discounts on Right</w:t>
      </w:r>
      <w:r w:rsidR="33F68AE6" w:rsidRPr="13A39E62">
        <w:rPr>
          <w:rFonts w:cs="Arial"/>
        </w:rPr>
        <w:t>-</w:t>
      </w:r>
      <w:r w:rsidR="6844BB64" w:rsidRPr="13A39E62">
        <w:rPr>
          <w:rFonts w:cs="Arial"/>
        </w:rPr>
        <w:t>To</w:t>
      </w:r>
      <w:r w:rsidR="1698BF84" w:rsidRPr="13A39E62">
        <w:rPr>
          <w:rFonts w:cs="Arial"/>
        </w:rPr>
        <w:t>-</w:t>
      </w:r>
      <w:r w:rsidR="6844BB64" w:rsidRPr="13A39E62">
        <w:rPr>
          <w:rFonts w:cs="Arial"/>
        </w:rPr>
        <w:t>Buy housing applicatio</w:t>
      </w:r>
      <w:r w:rsidR="1F089DA9" w:rsidRPr="13A39E62">
        <w:rPr>
          <w:rFonts w:cs="Arial"/>
        </w:rPr>
        <w:t>ns has been reduced. The decrease in the discount may well see the number of property disposals reducing which may counteract the add</w:t>
      </w:r>
      <w:r w:rsidR="49AA4438" w:rsidRPr="13A39E62">
        <w:rPr>
          <w:rFonts w:cs="Arial"/>
        </w:rPr>
        <w:t xml:space="preserve">itional freedom to retain 100% of the </w:t>
      </w:r>
      <w:r w:rsidR="6B3C63F8" w:rsidRPr="13A39E62">
        <w:rPr>
          <w:rFonts w:cs="Arial"/>
        </w:rPr>
        <w:t>receipt</w:t>
      </w:r>
      <w:r w:rsidR="52F58166" w:rsidRPr="13A39E62">
        <w:rPr>
          <w:rFonts w:cs="Arial"/>
        </w:rPr>
        <w:t>.</w:t>
      </w:r>
      <w:r w:rsidR="6844BB64" w:rsidRPr="13A39E62">
        <w:rPr>
          <w:rFonts w:cs="Arial"/>
        </w:rPr>
        <w:t xml:space="preserve"> </w:t>
      </w:r>
    </w:p>
    <w:p w14:paraId="2D9DFDAB" w14:textId="77777777" w:rsidR="002B7D72" w:rsidRPr="00572DC5" w:rsidRDefault="002B7D72" w:rsidP="002B7D72">
      <w:pPr>
        <w:pStyle w:val="ListParagraph"/>
        <w:autoSpaceDE w:val="0"/>
        <w:autoSpaceDN w:val="0"/>
        <w:adjustRightInd w:val="0"/>
        <w:ind w:right="380"/>
        <w:rPr>
          <w:rFonts w:cs="Arial"/>
        </w:rPr>
      </w:pPr>
    </w:p>
    <w:p w14:paraId="211953AD" w14:textId="77777777" w:rsidR="00CB383F" w:rsidRPr="00572DC5" w:rsidRDefault="00CB383F" w:rsidP="002B7D72">
      <w:pPr>
        <w:autoSpaceDE w:val="0"/>
        <w:autoSpaceDN w:val="0"/>
        <w:adjustRightInd w:val="0"/>
        <w:ind w:left="709" w:right="380" w:hanging="709"/>
        <w:rPr>
          <w:rFonts w:cs="Arial"/>
          <w:b/>
        </w:rPr>
      </w:pPr>
      <w:r w:rsidRPr="13A39E62">
        <w:rPr>
          <w:rFonts w:cs="Arial"/>
          <w:b/>
        </w:rPr>
        <w:t>Inflation and pay assumptions</w:t>
      </w:r>
    </w:p>
    <w:p w14:paraId="63ABE36B" w14:textId="77777777" w:rsidR="002B7D72" w:rsidRPr="00572DC5" w:rsidRDefault="002B7D72" w:rsidP="002B7D72">
      <w:pPr>
        <w:autoSpaceDE w:val="0"/>
        <w:autoSpaceDN w:val="0"/>
        <w:adjustRightInd w:val="0"/>
        <w:ind w:left="709" w:right="380" w:hanging="709"/>
        <w:rPr>
          <w:rFonts w:cs="Arial"/>
          <w:b/>
        </w:rPr>
      </w:pPr>
    </w:p>
    <w:p w14:paraId="54407C53" w14:textId="0CD1416A" w:rsidR="00CB383F" w:rsidRPr="00572DC5" w:rsidRDefault="008149C8" w:rsidP="00851939">
      <w:pPr>
        <w:pStyle w:val="ListParagraph"/>
        <w:numPr>
          <w:ilvl w:val="0"/>
          <w:numId w:val="53"/>
        </w:numPr>
        <w:autoSpaceDE w:val="0"/>
        <w:autoSpaceDN w:val="0"/>
        <w:adjustRightInd w:val="0"/>
        <w:ind w:left="426" w:right="380" w:hanging="426"/>
        <w:jc w:val="both"/>
        <w:rPr>
          <w:rFonts w:cs="Arial"/>
        </w:rPr>
      </w:pPr>
      <w:r w:rsidRPr="13A39E62">
        <w:rPr>
          <w:rFonts w:cs="Arial"/>
        </w:rPr>
        <w:t>A</w:t>
      </w:r>
      <w:r w:rsidR="00CB383F" w:rsidRPr="13A39E62">
        <w:rPr>
          <w:rFonts w:cs="Arial"/>
        </w:rPr>
        <w:t xml:space="preserve">ll the assumptions for </w:t>
      </w:r>
      <w:r w:rsidR="007B0493" w:rsidRPr="13A39E62">
        <w:rPr>
          <w:rFonts w:cs="Arial"/>
        </w:rPr>
        <w:t>i</w:t>
      </w:r>
      <w:r w:rsidR="00CB383F" w:rsidRPr="13A39E62">
        <w:rPr>
          <w:rFonts w:cs="Arial"/>
        </w:rPr>
        <w:t xml:space="preserve">nflation are the same as for </w:t>
      </w:r>
      <w:r w:rsidRPr="13A39E62">
        <w:rPr>
          <w:rFonts w:cs="Arial"/>
        </w:rPr>
        <w:t>t</w:t>
      </w:r>
      <w:r w:rsidR="00CB383F" w:rsidRPr="13A39E62">
        <w:rPr>
          <w:rFonts w:cs="Arial"/>
        </w:rPr>
        <w:t>he Council’s General Fund.</w:t>
      </w:r>
      <w:r w:rsidR="001A7E58" w:rsidRPr="13A39E62">
        <w:rPr>
          <w:rFonts w:cs="Arial"/>
        </w:rPr>
        <w:t xml:space="preserve"> </w:t>
      </w:r>
    </w:p>
    <w:p w14:paraId="48EE710A" w14:textId="77777777" w:rsidR="002B7D72" w:rsidRPr="00572DC5" w:rsidRDefault="002B7D72" w:rsidP="00104315">
      <w:pPr>
        <w:autoSpaceDE w:val="0"/>
        <w:autoSpaceDN w:val="0"/>
        <w:adjustRightInd w:val="0"/>
        <w:ind w:left="709" w:right="380" w:hanging="709"/>
        <w:jc w:val="both"/>
        <w:rPr>
          <w:rFonts w:cs="Arial"/>
          <w:b/>
        </w:rPr>
      </w:pPr>
    </w:p>
    <w:p w14:paraId="7E737441" w14:textId="77777777" w:rsidR="002F4354" w:rsidRPr="00572DC5" w:rsidRDefault="002F4354" w:rsidP="00104315">
      <w:pPr>
        <w:autoSpaceDE w:val="0"/>
        <w:autoSpaceDN w:val="0"/>
        <w:adjustRightInd w:val="0"/>
        <w:ind w:left="709" w:right="380" w:hanging="709"/>
        <w:jc w:val="both"/>
        <w:rPr>
          <w:rFonts w:cs="Arial"/>
          <w:b/>
        </w:rPr>
      </w:pPr>
      <w:r w:rsidRPr="13A39E62">
        <w:rPr>
          <w:rFonts w:cs="Arial"/>
          <w:b/>
        </w:rPr>
        <w:t>Service Charges</w:t>
      </w:r>
    </w:p>
    <w:p w14:paraId="6ECE2E29" w14:textId="3E3A2431" w:rsidR="64B60D78" w:rsidRPr="00B94770" w:rsidRDefault="64B60D78" w:rsidP="00851939">
      <w:pPr>
        <w:pStyle w:val="ListParagraph"/>
        <w:numPr>
          <w:ilvl w:val="0"/>
          <w:numId w:val="53"/>
        </w:numPr>
        <w:ind w:left="426" w:right="380" w:hanging="426"/>
        <w:jc w:val="both"/>
        <w:rPr>
          <w:rFonts w:cs="Arial"/>
        </w:rPr>
      </w:pPr>
      <w:r w:rsidRPr="00B94770">
        <w:rPr>
          <w:rFonts w:cs="Arial"/>
        </w:rPr>
        <w:t>S</w:t>
      </w:r>
      <w:r w:rsidR="3DD19A1F" w:rsidRPr="00B94770">
        <w:rPr>
          <w:rFonts w:cs="Arial"/>
        </w:rPr>
        <w:t xml:space="preserve">ervice charges </w:t>
      </w:r>
      <w:r w:rsidR="168B9604" w:rsidRPr="00B94770">
        <w:rPr>
          <w:rFonts w:cs="Arial"/>
        </w:rPr>
        <w:t>are currently being reviewed, and where possible t</w:t>
      </w:r>
      <w:r w:rsidR="1FC5B679" w:rsidRPr="00B94770">
        <w:rPr>
          <w:rFonts w:cs="Arial"/>
        </w:rPr>
        <w:t>he</w:t>
      </w:r>
      <w:r w:rsidR="4869B87C" w:rsidRPr="00B94770">
        <w:rPr>
          <w:rFonts w:cs="Arial"/>
        </w:rPr>
        <w:t xml:space="preserve"> </w:t>
      </w:r>
      <w:r w:rsidR="3DD19A1F" w:rsidRPr="00B94770">
        <w:rPr>
          <w:rFonts w:cs="Arial"/>
        </w:rPr>
        <w:t>service charges</w:t>
      </w:r>
      <w:r w:rsidR="28BF87EC" w:rsidRPr="00B94770">
        <w:rPr>
          <w:rFonts w:cs="Arial"/>
        </w:rPr>
        <w:t xml:space="preserve"> </w:t>
      </w:r>
      <w:r w:rsidR="3DD19A1F" w:rsidRPr="00B94770">
        <w:rPr>
          <w:rFonts w:cs="Arial"/>
        </w:rPr>
        <w:t xml:space="preserve">will be </w:t>
      </w:r>
      <w:r w:rsidR="40C364BF" w:rsidRPr="00B94770">
        <w:rPr>
          <w:rFonts w:cs="Arial"/>
        </w:rPr>
        <w:t>based on</w:t>
      </w:r>
      <w:r w:rsidR="3DD19A1F" w:rsidRPr="00B94770">
        <w:rPr>
          <w:rFonts w:cs="Arial"/>
        </w:rPr>
        <w:t xml:space="preserve"> the </w:t>
      </w:r>
      <w:r w:rsidR="1FE220C4" w:rsidRPr="00B94770">
        <w:rPr>
          <w:rFonts w:cs="Arial"/>
        </w:rPr>
        <w:t>actual costs incurred by the Council</w:t>
      </w:r>
      <w:r w:rsidR="3DD19A1F" w:rsidRPr="00B94770">
        <w:rPr>
          <w:rFonts w:cs="Arial"/>
        </w:rPr>
        <w:t>.</w:t>
      </w:r>
    </w:p>
    <w:p w14:paraId="2051AA43" w14:textId="36FEAC53" w:rsidR="13A39E62" w:rsidRPr="00B94770" w:rsidRDefault="13A39E62" w:rsidP="13A39E62">
      <w:pPr>
        <w:pStyle w:val="ListParagraph"/>
        <w:ind w:left="426" w:right="380" w:hanging="426"/>
        <w:jc w:val="both"/>
        <w:rPr>
          <w:rFonts w:cs="Arial"/>
        </w:rPr>
      </w:pPr>
    </w:p>
    <w:p w14:paraId="64FA72E8" w14:textId="205929CA" w:rsidR="00163FA2" w:rsidRPr="00572DC5" w:rsidRDefault="0B86508C" w:rsidP="00851939">
      <w:pPr>
        <w:pStyle w:val="ListParagraph"/>
        <w:numPr>
          <w:ilvl w:val="0"/>
          <w:numId w:val="53"/>
        </w:numPr>
        <w:autoSpaceDE w:val="0"/>
        <w:autoSpaceDN w:val="0"/>
        <w:adjustRightInd w:val="0"/>
        <w:ind w:left="426" w:right="380" w:hanging="426"/>
        <w:jc w:val="both"/>
        <w:rPr>
          <w:rFonts w:cs="Arial"/>
          <w:highlight w:val="yellow"/>
        </w:rPr>
      </w:pPr>
      <w:r w:rsidRPr="00B94770">
        <w:rPr>
          <w:rFonts w:cs="Arial"/>
        </w:rPr>
        <w:t>For s</w:t>
      </w:r>
      <w:r w:rsidR="002F4354" w:rsidRPr="00B94770">
        <w:rPr>
          <w:rFonts w:cs="Arial"/>
        </w:rPr>
        <w:t xml:space="preserve">ervice charges </w:t>
      </w:r>
      <w:r w:rsidR="748C54EC" w:rsidRPr="00B94770">
        <w:rPr>
          <w:rFonts w:cs="Arial"/>
        </w:rPr>
        <w:t>where the actual breakdown of costs is incalculable</w:t>
      </w:r>
      <w:r w:rsidR="5E17439D" w:rsidRPr="00B94770">
        <w:rPr>
          <w:rFonts w:cs="Arial"/>
        </w:rPr>
        <w:t>, they</w:t>
      </w:r>
      <w:r w:rsidR="748C54EC" w:rsidRPr="00B94770">
        <w:rPr>
          <w:rFonts w:cs="Arial"/>
        </w:rPr>
        <w:t xml:space="preserve"> </w:t>
      </w:r>
      <w:r w:rsidR="00B50D68" w:rsidRPr="00B94770">
        <w:rPr>
          <w:rFonts w:cs="Arial"/>
        </w:rPr>
        <w:t xml:space="preserve">will be increased </w:t>
      </w:r>
      <w:r w:rsidR="00DB0017" w:rsidRPr="00B94770">
        <w:rPr>
          <w:rFonts w:cs="Arial"/>
        </w:rPr>
        <w:t xml:space="preserve">by </w:t>
      </w:r>
      <w:r w:rsidR="00C54225" w:rsidRPr="00B94770">
        <w:rPr>
          <w:rFonts w:cs="Arial"/>
        </w:rPr>
        <w:t xml:space="preserve">CPI +1% </w:t>
      </w:r>
      <w:r w:rsidR="004B38E1" w:rsidRPr="00B94770">
        <w:rPr>
          <w:rFonts w:cs="Arial"/>
        </w:rPr>
        <w:t>i.e.</w:t>
      </w:r>
      <w:r w:rsidR="006A45E5" w:rsidRPr="00B94770">
        <w:rPr>
          <w:rFonts w:cs="Arial"/>
        </w:rPr>
        <w:t xml:space="preserve"> </w:t>
      </w:r>
      <w:r w:rsidR="2F4EFC7A" w:rsidRPr="00B94770">
        <w:rPr>
          <w:rFonts w:cs="Arial"/>
        </w:rPr>
        <w:t>4.8</w:t>
      </w:r>
      <w:r w:rsidR="006A45E5" w:rsidRPr="00B94770">
        <w:rPr>
          <w:rFonts w:cs="Arial"/>
        </w:rPr>
        <w:t>% in line with the rental charge</w:t>
      </w:r>
      <w:r w:rsidR="00C54225" w:rsidRPr="00B94770">
        <w:rPr>
          <w:rFonts w:cs="Arial"/>
        </w:rPr>
        <w:t xml:space="preserve"> </w:t>
      </w:r>
      <w:r w:rsidR="00FC5169" w:rsidRPr="00B94770">
        <w:rPr>
          <w:rFonts w:cs="Arial"/>
        </w:rPr>
        <w:t>across all tenure types</w:t>
      </w:r>
      <w:r w:rsidR="00FC5169" w:rsidRPr="381A1FF6">
        <w:rPr>
          <w:rFonts w:cs="Arial"/>
        </w:rPr>
        <w:t xml:space="preserve"> in the HRA.</w:t>
      </w:r>
      <w:r w:rsidR="00C54225" w:rsidRPr="381A1FF6">
        <w:rPr>
          <w:rFonts w:cs="Arial"/>
        </w:rPr>
        <w:t xml:space="preserve"> This increase will ensure that the income will cover the actual costs that have increased by RPI.</w:t>
      </w:r>
    </w:p>
    <w:p w14:paraId="77172903" w14:textId="77777777" w:rsidR="00FC5169" w:rsidRPr="00572DC5" w:rsidRDefault="00FC5169" w:rsidP="00104315">
      <w:pPr>
        <w:pStyle w:val="ListParagraph"/>
        <w:autoSpaceDE w:val="0"/>
        <w:autoSpaceDN w:val="0"/>
        <w:adjustRightInd w:val="0"/>
        <w:ind w:left="709" w:right="380" w:hanging="709"/>
        <w:jc w:val="both"/>
        <w:rPr>
          <w:rFonts w:cs="Arial"/>
          <w:highlight w:val="yellow"/>
        </w:rPr>
      </w:pPr>
    </w:p>
    <w:p w14:paraId="4E8D4629" w14:textId="2432385B" w:rsidR="00FC5169" w:rsidRPr="00572DC5" w:rsidRDefault="00FC5169" w:rsidP="00851939">
      <w:pPr>
        <w:pStyle w:val="ListParagraph"/>
        <w:numPr>
          <w:ilvl w:val="0"/>
          <w:numId w:val="53"/>
        </w:numPr>
        <w:autoSpaceDE w:val="0"/>
        <w:autoSpaceDN w:val="0"/>
        <w:adjustRightInd w:val="0"/>
        <w:ind w:left="426" w:right="380" w:hanging="426"/>
        <w:jc w:val="both"/>
        <w:rPr>
          <w:rFonts w:cs="Arial"/>
        </w:rPr>
      </w:pPr>
      <w:r w:rsidRPr="13A39E62">
        <w:rPr>
          <w:rFonts w:cs="Arial"/>
        </w:rPr>
        <w:t>The</w:t>
      </w:r>
      <w:r w:rsidR="00C54225" w:rsidRPr="13A39E62">
        <w:rPr>
          <w:rFonts w:cs="Arial"/>
        </w:rPr>
        <w:t>re is no proposed increase to the</w:t>
      </w:r>
      <w:r w:rsidRPr="13A39E62">
        <w:rPr>
          <w:rFonts w:cs="Arial"/>
        </w:rPr>
        <w:t xml:space="preserve"> Furnished Tenancy multiplier </w:t>
      </w:r>
      <w:r w:rsidR="00A00FF0" w:rsidRPr="13A39E62">
        <w:rPr>
          <w:rFonts w:cs="Arial"/>
        </w:rPr>
        <w:t>in respect of charges to tenants who take up the offer of the provision of white goods and other fittings</w:t>
      </w:r>
      <w:r w:rsidR="00C54225" w:rsidRPr="13A39E62">
        <w:rPr>
          <w:rFonts w:cs="Arial"/>
        </w:rPr>
        <w:t>. The current multiplier</w:t>
      </w:r>
      <w:r w:rsidR="00A00FF0" w:rsidRPr="13A39E62">
        <w:rPr>
          <w:rFonts w:cs="Arial"/>
        </w:rPr>
        <w:t xml:space="preserve"> </w:t>
      </w:r>
      <w:r w:rsidR="00C54225" w:rsidRPr="13A39E62">
        <w:rPr>
          <w:rFonts w:cs="Arial"/>
        </w:rPr>
        <w:t xml:space="preserve">of </w:t>
      </w:r>
      <w:r w:rsidR="00A00FF0" w:rsidRPr="13A39E62">
        <w:rPr>
          <w:rFonts w:cs="Arial"/>
        </w:rPr>
        <w:t>1.5155</w:t>
      </w:r>
      <w:r w:rsidR="00092035" w:rsidRPr="13A39E62">
        <w:rPr>
          <w:rFonts w:cs="Arial"/>
        </w:rPr>
        <w:t xml:space="preserve"> is </w:t>
      </w:r>
      <w:r w:rsidR="00C54225" w:rsidRPr="13A39E62">
        <w:rPr>
          <w:rFonts w:cs="Arial"/>
        </w:rPr>
        <w:t>considered</w:t>
      </w:r>
      <w:r w:rsidR="00A00FF0" w:rsidRPr="13A39E62">
        <w:rPr>
          <w:rFonts w:cs="Arial"/>
        </w:rPr>
        <w:t xml:space="preserve"> sufficient to cover the costs of running the scheme. </w:t>
      </w:r>
      <w:r w:rsidRPr="13A39E62">
        <w:rPr>
          <w:rFonts w:cs="Arial"/>
        </w:rPr>
        <w:t xml:space="preserve"> </w:t>
      </w:r>
    </w:p>
    <w:p w14:paraId="2B2B3D10" w14:textId="77777777" w:rsidR="00B26E32" w:rsidRDefault="00B26E32" w:rsidP="00875869">
      <w:pPr>
        <w:autoSpaceDE w:val="0"/>
        <w:autoSpaceDN w:val="0"/>
        <w:adjustRightInd w:val="0"/>
        <w:spacing w:after="120"/>
        <w:ind w:left="709" w:right="380" w:hanging="709"/>
        <w:jc w:val="both"/>
        <w:rPr>
          <w:rFonts w:cs="Arial"/>
          <w:b/>
        </w:rPr>
      </w:pPr>
    </w:p>
    <w:p w14:paraId="75660516" w14:textId="11274914" w:rsidR="00CB383F" w:rsidRPr="00572DC5" w:rsidRDefault="00CB383F" w:rsidP="00875869">
      <w:pPr>
        <w:autoSpaceDE w:val="0"/>
        <w:autoSpaceDN w:val="0"/>
        <w:adjustRightInd w:val="0"/>
        <w:spacing w:after="120"/>
        <w:ind w:left="709" w:right="380" w:hanging="709"/>
        <w:jc w:val="both"/>
        <w:rPr>
          <w:rFonts w:cs="Arial"/>
        </w:rPr>
      </w:pPr>
      <w:r w:rsidRPr="13A39E62">
        <w:rPr>
          <w:rFonts w:cs="Arial"/>
          <w:b/>
        </w:rPr>
        <w:t>Working Balance</w:t>
      </w:r>
    </w:p>
    <w:p w14:paraId="65DE25E2" w14:textId="77777777" w:rsidR="00CB383F" w:rsidRPr="00572DC5" w:rsidRDefault="001F46D8" w:rsidP="00851939">
      <w:pPr>
        <w:pStyle w:val="ListParagraph"/>
        <w:numPr>
          <w:ilvl w:val="0"/>
          <w:numId w:val="53"/>
        </w:numPr>
        <w:autoSpaceDE w:val="0"/>
        <w:autoSpaceDN w:val="0"/>
        <w:adjustRightInd w:val="0"/>
        <w:spacing w:after="120"/>
        <w:ind w:left="426" w:right="380" w:hanging="426"/>
        <w:jc w:val="both"/>
        <w:rPr>
          <w:rFonts w:cs="Arial"/>
          <w:b/>
        </w:rPr>
      </w:pPr>
      <w:r w:rsidRPr="13A39E62">
        <w:rPr>
          <w:rFonts w:cs="Arial"/>
        </w:rPr>
        <w:t>T</w:t>
      </w:r>
      <w:r w:rsidR="00CB383F" w:rsidRPr="13A39E62">
        <w:rPr>
          <w:rFonts w:cs="Arial"/>
        </w:rPr>
        <w:t>he working balance levels allow sufficient monies for the funding of future years</w:t>
      </w:r>
      <w:r w:rsidR="007B0493" w:rsidRPr="13A39E62">
        <w:rPr>
          <w:rFonts w:cs="Arial"/>
        </w:rPr>
        <w:t>’</w:t>
      </w:r>
      <w:r w:rsidR="00CB383F" w:rsidRPr="13A39E62">
        <w:rPr>
          <w:rFonts w:cs="Arial"/>
        </w:rPr>
        <w:t xml:space="preserve"> Capital Programme</w:t>
      </w:r>
      <w:r w:rsidR="007B0493" w:rsidRPr="13A39E62">
        <w:rPr>
          <w:rFonts w:cs="Arial"/>
        </w:rPr>
        <w:t>,</w:t>
      </w:r>
      <w:r w:rsidR="00CB383F" w:rsidRPr="13A39E62">
        <w:rPr>
          <w:rFonts w:cs="Arial"/>
        </w:rPr>
        <w:t xml:space="preserve"> the repayment of the debt</w:t>
      </w:r>
      <w:r w:rsidR="007B0493" w:rsidRPr="13A39E62">
        <w:rPr>
          <w:rFonts w:cs="Arial"/>
        </w:rPr>
        <w:t>,</w:t>
      </w:r>
      <w:r w:rsidR="008149C8" w:rsidRPr="13A39E62">
        <w:rPr>
          <w:rFonts w:cs="Arial"/>
        </w:rPr>
        <w:t xml:space="preserve"> as well as a</w:t>
      </w:r>
      <w:r w:rsidR="00CB383F" w:rsidRPr="13A39E62">
        <w:rPr>
          <w:rFonts w:cs="Arial"/>
        </w:rPr>
        <w:t>n amount of £</w:t>
      </w:r>
      <w:r w:rsidR="00EF2398" w:rsidRPr="13A39E62">
        <w:rPr>
          <w:rFonts w:cs="Arial"/>
        </w:rPr>
        <w:t xml:space="preserve">3.5 </w:t>
      </w:r>
      <w:r w:rsidR="00CB383F" w:rsidRPr="13A39E62">
        <w:rPr>
          <w:rFonts w:cs="Arial"/>
        </w:rPr>
        <w:t xml:space="preserve">million as being the minimum required to cover unexpected events such as falling investment income or increased costs. </w:t>
      </w:r>
    </w:p>
    <w:p w14:paraId="166049E9" w14:textId="77777777" w:rsidR="00CB383F" w:rsidRPr="00572DC5" w:rsidRDefault="00AD7431" w:rsidP="00EF2398">
      <w:pPr>
        <w:ind w:left="709" w:hanging="709"/>
        <w:contextualSpacing/>
        <w:rPr>
          <w:rFonts w:eastAsia="Calibri" w:cs="Arial"/>
          <w:b/>
        </w:rPr>
      </w:pPr>
      <w:r w:rsidRPr="13A39E62">
        <w:rPr>
          <w:rFonts w:eastAsia="Calibri" w:cs="Arial"/>
          <w:b/>
        </w:rPr>
        <w:t xml:space="preserve">Variations to Budget </w:t>
      </w:r>
    </w:p>
    <w:p w14:paraId="07003E53" w14:textId="77777777" w:rsidR="00784728" w:rsidRPr="00572DC5" w:rsidRDefault="00784728" w:rsidP="00EF2398">
      <w:pPr>
        <w:ind w:left="709" w:hanging="709"/>
        <w:contextualSpacing/>
        <w:rPr>
          <w:rFonts w:eastAsia="Calibri" w:cs="Arial"/>
          <w:highlight w:val="yellow"/>
        </w:rPr>
      </w:pPr>
    </w:p>
    <w:p w14:paraId="2F639EFD" w14:textId="1610050C" w:rsidR="00AD7431" w:rsidRPr="00572DC5" w:rsidRDefault="00AD7431" w:rsidP="00851939">
      <w:pPr>
        <w:pStyle w:val="ListParagraph"/>
        <w:numPr>
          <w:ilvl w:val="0"/>
          <w:numId w:val="53"/>
        </w:numPr>
        <w:ind w:left="426" w:hanging="426"/>
        <w:contextualSpacing/>
        <w:rPr>
          <w:rFonts w:eastAsia="Calibri" w:cs="Arial"/>
        </w:rPr>
      </w:pPr>
      <w:r w:rsidRPr="13A39E62">
        <w:rPr>
          <w:rFonts w:eastAsia="Calibri" w:cs="Arial"/>
        </w:rPr>
        <w:t>Variations to the HRA budget are shown in Appendix 3 with explanations shown below:</w:t>
      </w:r>
    </w:p>
    <w:p w14:paraId="3761CA28" w14:textId="77777777" w:rsidR="000C178A" w:rsidRPr="00572DC5" w:rsidRDefault="000C178A" w:rsidP="00104315">
      <w:pPr>
        <w:ind w:left="709" w:hanging="709"/>
        <w:contextualSpacing/>
        <w:rPr>
          <w:rFonts w:eastAsia="Calibri" w:cs="Arial"/>
          <w:highlight w:val="yellow"/>
        </w:rPr>
      </w:pPr>
    </w:p>
    <w:p w14:paraId="4B2550C4" w14:textId="77777777" w:rsidR="00400D9B" w:rsidRPr="00572DC5" w:rsidRDefault="0070A02D" w:rsidP="00875869">
      <w:pPr>
        <w:pStyle w:val="NoSpacing"/>
        <w:ind w:left="709" w:hanging="709"/>
        <w:jc w:val="both"/>
        <w:rPr>
          <w:rFonts w:ascii="Arial" w:hAnsi="Arial" w:cs="Arial"/>
          <w:b/>
          <w:sz w:val="24"/>
          <w:szCs w:val="24"/>
        </w:rPr>
      </w:pPr>
      <w:r w:rsidRPr="3050D374">
        <w:rPr>
          <w:rFonts w:ascii="Arial" w:hAnsi="Arial" w:cs="Arial"/>
          <w:b/>
          <w:sz w:val="24"/>
          <w:szCs w:val="24"/>
        </w:rPr>
        <w:t>Service Pressures</w:t>
      </w:r>
    </w:p>
    <w:p w14:paraId="3B6C3C6A" w14:textId="2EDA448B" w:rsidR="3050D374" w:rsidRDefault="3050D374" w:rsidP="3050D374">
      <w:pPr>
        <w:pStyle w:val="NoSpacing"/>
        <w:ind w:left="709" w:hanging="709"/>
        <w:jc w:val="both"/>
        <w:rPr>
          <w:rFonts w:ascii="Arial" w:hAnsi="Arial" w:cs="Arial"/>
          <w:b/>
          <w:bCs/>
          <w:sz w:val="24"/>
          <w:szCs w:val="24"/>
        </w:rPr>
      </w:pPr>
    </w:p>
    <w:p w14:paraId="7BA568C0" w14:textId="39A5E522"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lastRenderedPageBreak/>
        <w:t xml:space="preserve">Shared Ownership Repairs Allowance </w:t>
      </w:r>
      <w:r w:rsidR="37561182" w:rsidRPr="3050D374">
        <w:rPr>
          <w:rFonts w:eastAsia="Arial" w:cs="Arial"/>
          <w:color w:val="000000" w:themeColor="text1"/>
        </w:rPr>
        <w:t>(</w:t>
      </w:r>
      <w:r w:rsidRPr="3050D374">
        <w:rPr>
          <w:rFonts w:eastAsia="Arial" w:cs="Arial"/>
          <w:color w:val="000000" w:themeColor="text1"/>
        </w:rPr>
        <w:t>£5,000</w:t>
      </w:r>
      <w:r w:rsidR="7D6ED8EF" w:rsidRPr="3050D374">
        <w:rPr>
          <w:rFonts w:eastAsia="Arial" w:cs="Arial"/>
          <w:color w:val="000000" w:themeColor="text1"/>
        </w:rPr>
        <w:t>)</w:t>
      </w:r>
    </w:p>
    <w:p w14:paraId="2716BAD2" w14:textId="0A23C7FE"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 xml:space="preserve">Complaint Compensation </w:t>
      </w:r>
      <w:r w:rsidR="1B070DC8" w:rsidRPr="3050D374">
        <w:rPr>
          <w:rFonts w:eastAsia="Arial" w:cs="Arial"/>
          <w:color w:val="000000" w:themeColor="text1"/>
        </w:rPr>
        <w:t>(</w:t>
      </w:r>
      <w:r w:rsidRPr="3050D374">
        <w:rPr>
          <w:rFonts w:eastAsia="Arial" w:cs="Arial"/>
          <w:color w:val="000000" w:themeColor="text1"/>
        </w:rPr>
        <w:t>£30,000</w:t>
      </w:r>
      <w:r w:rsidR="2F80D9E5" w:rsidRPr="3050D374">
        <w:rPr>
          <w:rFonts w:eastAsia="Arial" w:cs="Arial"/>
          <w:color w:val="000000" w:themeColor="text1"/>
        </w:rPr>
        <w:t>)</w:t>
      </w:r>
    </w:p>
    <w:p w14:paraId="78AFD0B3" w14:textId="22FDDEC9"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 xml:space="preserve">Council Tax </w:t>
      </w:r>
      <w:r w:rsidR="7E8F12B2" w:rsidRPr="3050D374">
        <w:rPr>
          <w:rFonts w:eastAsia="Arial" w:cs="Arial"/>
          <w:color w:val="000000" w:themeColor="text1"/>
        </w:rPr>
        <w:t>for</w:t>
      </w:r>
      <w:r w:rsidRPr="3050D374">
        <w:rPr>
          <w:rFonts w:eastAsia="Arial" w:cs="Arial"/>
          <w:color w:val="000000" w:themeColor="text1"/>
        </w:rPr>
        <w:t xml:space="preserve"> </w:t>
      </w:r>
      <w:r w:rsidR="25933792" w:rsidRPr="3050D374">
        <w:rPr>
          <w:rFonts w:eastAsia="Arial" w:cs="Arial"/>
          <w:color w:val="000000" w:themeColor="text1"/>
        </w:rPr>
        <w:t xml:space="preserve">Long-Term </w:t>
      </w:r>
      <w:r w:rsidRPr="3050D374">
        <w:rPr>
          <w:rFonts w:eastAsia="Arial" w:cs="Arial"/>
          <w:color w:val="000000" w:themeColor="text1"/>
        </w:rPr>
        <w:t xml:space="preserve">Void Properties </w:t>
      </w:r>
      <w:r w:rsidR="527EFFE5" w:rsidRPr="3050D374">
        <w:rPr>
          <w:rFonts w:eastAsia="Arial" w:cs="Arial"/>
          <w:color w:val="000000" w:themeColor="text1"/>
        </w:rPr>
        <w:t>(</w:t>
      </w:r>
      <w:r w:rsidRPr="3050D374">
        <w:rPr>
          <w:rFonts w:eastAsia="Arial" w:cs="Arial"/>
          <w:color w:val="000000" w:themeColor="text1"/>
        </w:rPr>
        <w:t>£180,000</w:t>
      </w:r>
      <w:r w:rsidR="52C9C8A9" w:rsidRPr="3050D374">
        <w:rPr>
          <w:rFonts w:eastAsia="Arial" w:cs="Arial"/>
          <w:color w:val="000000" w:themeColor="text1"/>
        </w:rPr>
        <w:t>)</w:t>
      </w:r>
    </w:p>
    <w:p w14:paraId="7C213EF9" w14:textId="7F1B03A5"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 xml:space="preserve">Service Charges </w:t>
      </w:r>
      <w:r w:rsidR="46A6CFC3" w:rsidRPr="3050D374">
        <w:rPr>
          <w:rFonts w:eastAsia="Arial" w:cs="Arial"/>
          <w:color w:val="000000" w:themeColor="text1"/>
        </w:rPr>
        <w:t>(</w:t>
      </w:r>
      <w:r w:rsidRPr="3050D374">
        <w:rPr>
          <w:rFonts w:eastAsia="Arial" w:cs="Arial"/>
          <w:color w:val="000000" w:themeColor="text1"/>
        </w:rPr>
        <w:t>£40,000</w:t>
      </w:r>
      <w:r w:rsidR="059C8468" w:rsidRPr="3050D374">
        <w:rPr>
          <w:rFonts w:eastAsia="Arial" w:cs="Arial"/>
          <w:color w:val="000000" w:themeColor="text1"/>
        </w:rPr>
        <w:t>)</w:t>
      </w:r>
    </w:p>
    <w:p w14:paraId="5F17151C" w14:textId="1D4F0E1E" w:rsidR="7C50BFB3" w:rsidRDefault="7C50BFB3"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Increase in ODS Caretaking &amp; Estate Services (£318,000)</w:t>
      </w:r>
    </w:p>
    <w:p w14:paraId="36E0835C" w14:textId="10133175" w:rsidR="76BAFF06" w:rsidRDefault="76BAFF06" w:rsidP="3050D374">
      <w:pPr>
        <w:spacing w:after="160" w:line="259" w:lineRule="auto"/>
        <w:jc w:val="both"/>
        <w:rPr>
          <w:rFonts w:eastAsia="Arial" w:cs="Arial"/>
          <w:b/>
          <w:bCs/>
          <w:color w:val="000000" w:themeColor="text1"/>
        </w:rPr>
      </w:pPr>
      <w:r w:rsidRPr="3050D374">
        <w:rPr>
          <w:rFonts w:eastAsia="Arial" w:cs="Arial"/>
          <w:b/>
          <w:bCs/>
          <w:color w:val="000000" w:themeColor="text1"/>
        </w:rPr>
        <w:t>New Bids</w:t>
      </w:r>
    </w:p>
    <w:p w14:paraId="2FD94222" w14:textId="45556AF3" w:rsidR="5234A2BD" w:rsidRDefault="5234A2BD" w:rsidP="00712800">
      <w:pPr>
        <w:pStyle w:val="ListParagraph"/>
        <w:numPr>
          <w:ilvl w:val="0"/>
          <w:numId w:val="24"/>
        </w:numPr>
        <w:spacing w:after="160" w:line="259" w:lineRule="auto"/>
        <w:jc w:val="both"/>
        <w:rPr>
          <w:rFonts w:eastAsia="Arial" w:cs="Arial"/>
        </w:rPr>
      </w:pPr>
      <w:r w:rsidRPr="3050D374">
        <w:rPr>
          <w:rFonts w:eastAsia="Arial" w:cs="Arial"/>
        </w:rPr>
        <w:t>Increase in resident Involvement budget to reflect the reset work - Resident Rewards, training, conferences &amp; events (£40,000)</w:t>
      </w:r>
    </w:p>
    <w:p w14:paraId="040C40A9" w14:textId="2E600E5F"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 xml:space="preserve">Increase in </w:t>
      </w:r>
      <w:r w:rsidRPr="3050D374">
        <w:rPr>
          <w:rFonts w:eastAsia="Arial" w:cs="Arial"/>
        </w:rPr>
        <w:t>Elmore complex case capacity (£30,000), to ensure that there is sufficient complex needs support of tenants beyond the tenancy sustainment offer</w:t>
      </w:r>
    </w:p>
    <w:p w14:paraId="31D8857D" w14:textId="2947DB7C"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3 x C</w:t>
      </w:r>
      <w:r w:rsidR="309DAA69" w:rsidRPr="3050D374">
        <w:rPr>
          <w:rFonts w:eastAsia="Arial" w:cs="Arial"/>
          <w:color w:val="000000" w:themeColor="text1"/>
        </w:rPr>
        <w:t xml:space="preserve">ommunity </w:t>
      </w:r>
      <w:r w:rsidRPr="3050D374">
        <w:rPr>
          <w:rFonts w:eastAsia="Arial" w:cs="Arial"/>
          <w:color w:val="000000" w:themeColor="text1"/>
        </w:rPr>
        <w:t>R</w:t>
      </w:r>
      <w:r w:rsidR="5D52AFF2" w:rsidRPr="3050D374">
        <w:rPr>
          <w:rFonts w:eastAsia="Arial" w:cs="Arial"/>
          <w:color w:val="000000" w:themeColor="text1"/>
        </w:rPr>
        <w:t xml:space="preserve">esponse </w:t>
      </w:r>
      <w:r w:rsidRPr="3050D374">
        <w:rPr>
          <w:rFonts w:eastAsia="Arial" w:cs="Arial"/>
          <w:color w:val="000000" w:themeColor="text1"/>
        </w:rPr>
        <w:t>T</w:t>
      </w:r>
      <w:r w:rsidR="2CF991F1" w:rsidRPr="3050D374">
        <w:rPr>
          <w:rFonts w:eastAsia="Arial" w:cs="Arial"/>
          <w:color w:val="000000" w:themeColor="text1"/>
        </w:rPr>
        <w:t>eam</w:t>
      </w:r>
      <w:r w:rsidRPr="3050D374">
        <w:rPr>
          <w:rFonts w:eastAsia="Arial" w:cs="Arial"/>
          <w:color w:val="000000" w:themeColor="text1"/>
        </w:rPr>
        <w:t xml:space="preserve"> Officers (£150,000)</w:t>
      </w:r>
    </w:p>
    <w:p w14:paraId="472DB297" w14:textId="6D42E750"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Localz Contract funding for ODS (inc</w:t>
      </w:r>
      <w:r w:rsidR="537445F6" w:rsidRPr="3050D374">
        <w:rPr>
          <w:rFonts w:eastAsia="Arial" w:cs="Arial"/>
          <w:color w:val="000000" w:themeColor="text1"/>
        </w:rPr>
        <w:t>.</w:t>
      </w:r>
      <w:r w:rsidRPr="3050D374">
        <w:rPr>
          <w:rFonts w:eastAsia="Arial" w:cs="Arial"/>
          <w:color w:val="000000" w:themeColor="text1"/>
        </w:rPr>
        <w:t xml:space="preserve"> text message bundle) (£40,000)</w:t>
      </w:r>
    </w:p>
    <w:p w14:paraId="06BB0544" w14:textId="7E14BC0A"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Consultants for QL Project x2 (£200,000)</w:t>
      </w:r>
    </w:p>
    <w:p w14:paraId="5B98705C" w14:textId="50CF2F6D" w:rsidR="38FCC841" w:rsidRDefault="38FCC841"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Provision for</w:t>
      </w:r>
      <w:r w:rsidR="5234A2BD" w:rsidRPr="3050D374">
        <w:rPr>
          <w:rFonts w:eastAsia="Arial" w:cs="Arial"/>
          <w:color w:val="000000" w:themeColor="text1"/>
        </w:rPr>
        <w:t xml:space="preserve"> HRA Asset Management Team (</w:t>
      </w:r>
      <w:r w:rsidR="00B95562">
        <w:rPr>
          <w:rFonts w:eastAsia="Arial" w:cs="Arial"/>
          <w:color w:val="000000" w:themeColor="text1"/>
        </w:rPr>
        <w:t xml:space="preserve">Gross increase of £2.2 million </w:t>
      </w:r>
      <w:r w:rsidR="00296037">
        <w:rPr>
          <w:rFonts w:eastAsia="Arial" w:cs="Arial"/>
          <w:color w:val="000000" w:themeColor="text1"/>
        </w:rPr>
        <w:t>or £1.588 million after recharges to capital</w:t>
      </w:r>
      <w:r w:rsidR="5234A2BD" w:rsidRPr="3050D374">
        <w:rPr>
          <w:rFonts w:eastAsia="Arial" w:cs="Arial"/>
          <w:color w:val="000000" w:themeColor="text1"/>
        </w:rPr>
        <w:t>)</w:t>
      </w:r>
    </w:p>
    <w:p w14:paraId="29616B58" w14:textId="2EFF2854"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 xml:space="preserve">Additional </w:t>
      </w:r>
      <w:r w:rsidR="0FE7998B" w:rsidRPr="3050D374">
        <w:rPr>
          <w:rFonts w:eastAsia="Arial" w:cs="Arial"/>
          <w:color w:val="000000" w:themeColor="text1"/>
        </w:rPr>
        <w:t xml:space="preserve">staffing and </w:t>
      </w:r>
      <w:r w:rsidRPr="3050D374">
        <w:rPr>
          <w:rFonts w:eastAsia="Arial" w:cs="Arial"/>
        </w:rPr>
        <w:t xml:space="preserve">repair and maintenance </w:t>
      </w:r>
      <w:r w:rsidRPr="3050D374">
        <w:rPr>
          <w:rFonts w:eastAsia="Arial" w:cs="Arial"/>
          <w:color w:val="000000" w:themeColor="text1"/>
        </w:rPr>
        <w:t>costs for additional TA units (£200,000)</w:t>
      </w:r>
    </w:p>
    <w:p w14:paraId="1FFBAA10" w14:textId="0CE8ABF0" w:rsidR="5234A2BD" w:rsidRDefault="5234A2BD" w:rsidP="3050D374">
      <w:pPr>
        <w:spacing w:after="160" w:line="259" w:lineRule="auto"/>
        <w:jc w:val="both"/>
        <w:rPr>
          <w:rFonts w:eastAsia="Arial" w:cs="Arial"/>
          <w:color w:val="000000" w:themeColor="text1"/>
        </w:rPr>
      </w:pPr>
      <w:r w:rsidRPr="3050D374">
        <w:rPr>
          <w:rFonts w:eastAsia="Arial" w:cs="Arial"/>
          <w:b/>
          <w:bCs/>
          <w:color w:val="000000" w:themeColor="text1"/>
        </w:rPr>
        <w:t>Revenue Budget Savings / Reductions:</w:t>
      </w:r>
    </w:p>
    <w:p w14:paraId="0C23D9B6" w14:textId="16FFB5C5"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Efficiency Saving</w:t>
      </w:r>
      <w:r w:rsidRPr="3050D374">
        <w:rPr>
          <w:rFonts w:eastAsia="Arial" w:cs="Arial"/>
        </w:rPr>
        <w:t xml:space="preserve">s following budget review </w:t>
      </w:r>
      <w:r w:rsidRPr="3050D374">
        <w:rPr>
          <w:rFonts w:eastAsia="Arial" w:cs="Arial"/>
          <w:color w:val="000000" w:themeColor="text1"/>
        </w:rPr>
        <w:t>(£200,000)</w:t>
      </w:r>
    </w:p>
    <w:p w14:paraId="5FC0DC30" w14:textId="6AED1AF0"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Increase in Costs recovered through Housing Benefit by remodelling our approach to Temporary Accommodation (£363,000)</w:t>
      </w:r>
    </w:p>
    <w:p w14:paraId="05CFA25A" w14:textId="64EE1D91"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Shrubs ICT system (£40,000)</w:t>
      </w:r>
    </w:p>
    <w:p w14:paraId="3B4B3488" w14:textId="3A3C7753"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TA Rental Income for 150 new Units @ £120 per week (£936,000)</w:t>
      </w:r>
    </w:p>
    <w:p w14:paraId="52165D7D" w14:textId="4E8CCF77"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Gap Funding from Housing Needs for TA Units (£360,000)</w:t>
      </w:r>
    </w:p>
    <w:p w14:paraId="4F59C449" w14:textId="54E65577" w:rsidR="5234A2BD" w:rsidRDefault="5234A2BD" w:rsidP="3050D374">
      <w:pPr>
        <w:spacing w:after="160" w:line="259" w:lineRule="auto"/>
        <w:jc w:val="both"/>
        <w:rPr>
          <w:rFonts w:eastAsia="Arial" w:cs="Arial"/>
          <w:color w:val="000000" w:themeColor="text1"/>
        </w:rPr>
      </w:pPr>
      <w:r w:rsidRPr="3050D374">
        <w:rPr>
          <w:rFonts w:eastAsia="Arial" w:cs="Arial"/>
          <w:b/>
          <w:bCs/>
          <w:color w:val="000000" w:themeColor="text1"/>
        </w:rPr>
        <w:t>Capital budget amendments:</w:t>
      </w:r>
    </w:p>
    <w:p w14:paraId="6554EF0C" w14:textId="18852F22"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Acquisition of 150 TA Units at a total cost of £32m (Saving the GF financing costs of circa £1.7m per annum)</w:t>
      </w:r>
    </w:p>
    <w:p w14:paraId="4421432E" w14:textId="0BD6DC40" w:rsidR="5234A2BD" w:rsidRDefault="5234A2BD" w:rsidP="00712800">
      <w:pPr>
        <w:pStyle w:val="ListParagraph"/>
        <w:numPr>
          <w:ilvl w:val="0"/>
          <w:numId w:val="24"/>
        </w:numPr>
        <w:spacing w:after="160" w:line="259" w:lineRule="auto"/>
        <w:jc w:val="both"/>
        <w:rPr>
          <w:rFonts w:eastAsia="Arial" w:cs="Arial"/>
          <w:strike/>
        </w:rPr>
      </w:pPr>
      <w:r w:rsidRPr="3050D374">
        <w:rPr>
          <w:rFonts w:eastAsia="Arial" w:cs="Arial"/>
        </w:rPr>
        <w:t>Re-procurement of Housing &amp; Asset Management System inc</w:t>
      </w:r>
      <w:r w:rsidR="1FDC5C01" w:rsidRPr="3050D374">
        <w:rPr>
          <w:rFonts w:eastAsia="Arial" w:cs="Arial"/>
        </w:rPr>
        <w:t>.</w:t>
      </w:r>
      <w:r w:rsidRPr="3050D374">
        <w:rPr>
          <w:rFonts w:eastAsia="Arial" w:cs="Arial"/>
        </w:rPr>
        <w:t xml:space="preserve"> mobile £2m (This is required to commence procurement and may not be needed in full.</w:t>
      </w:r>
    </w:p>
    <w:p w14:paraId="1015717C" w14:textId="6C85960D" w:rsidR="5234A2BD" w:rsidRDefault="5234A2BD" w:rsidP="00712800">
      <w:pPr>
        <w:pStyle w:val="ListParagraph"/>
        <w:numPr>
          <w:ilvl w:val="0"/>
          <w:numId w:val="24"/>
        </w:numPr>
        <w:spacing w:after="160" w:line="259" w:lineRule="auto"/>
        <w:jc w:val="both"/>
        <w:rPr>
          <w:rFonts w:eastAsia="Arial" w:cs="Arial"/>
          <w:strike/>
        </w:rPr>
      </w:pPr>
      <w:r w:rsidRPr="3050D374">
        <w:rPr>
          <w:rFonts w:eastAsia="Arial" w:cs="Arial"/>
        </w:rPr>
        <w:t>Inclusion of an additional £</w:t>
      </w:r>
      <w:r w:rsidR="0077116C">
        <w:rPr>
          <w:rFonts w:eastAsia="Arial" w:cs="Arial"/>
        </w:rPr>
        <w:t>12</w:t>
      </w:r>
      <w:r w:rsidRPr="3050D374">
        <w:rPr>
          <w:rFonts w:eastAsia="Arial" w:cs="Arial"/>
        </w:rPr>
        <w:t>m contingency for Tower Block Remediation Works.</w:t>
      </w:r>
    </w:p>
    <w:p w14:paraId="3A1EF910" w14:textId="6C103882" w:rsidR="5234A2BD" w:rsidRDefault="5234A2BD" w:rsidP="00712800">
      <w:pPr>
        <w:pStyle w:val="ListParagraph"/>
        <w:numPr>
          <w:ilvl w:val="0"/>
          <w:numId w:val="24"/>
        </w:numPr>
        <w:spacing w:after="160" w:line="259" w:lineRule="auto"/>
        <w:jc w:val="both"/>
        <w:rPr>
          <w:rFonts w:eastAsia="Arial" w:cs="Arial"/>
        </w:rPr>
      </w:pPr>
      <w:r w:rsidRPr="3050D374">
        <w:rPr>
          <w:rFonts w:eastAsia="Arial" w:cs="Arial"/>
        </w:rPr>
        <w:t>Tower Block Water tanks £100k feasibility</w:t>
      </w:r>
    </w:p>
    <w:p w14:paraId="5F6A10E0" w14:textId="0978E0AF" w:rsidR="5234A2BD" w:rsidRDefault="5234A2BD" w:rsidP="00712800">
      <w:pPr>
        <w:pStyle w:val="ListParagraph"/>
        <w:numPr>
          <w:ilvl w:val="0"/>
          <w:numId w:val="24"/>
        </w:numPr>
        <w:spacing w:after="160" w:line="259" w:lineRule="auto"/>
        <w:jc w:val="both"/>
        <w:rPr>
          <w:rFonts w:eastAsia="Arial" w:cs="Arial"/>
        </w:rPr>
      </w:pPr>
      <w:r w:rsidRPr="3050D374">
        <w:rPr>
          <w:rFonts w:eastAsia="Arial" w:cs="Arial"/>
        </w:rPr>
        <w:t>Play / Seating Areas £60k per annum</w:t>
      </w:r>
    </w:p>
    <w:p w14:paraId="4E2C9954" w14:textId="68ABB29F" w:rsidR="5234A2BD" w:rsidRDefault="5234A2BD" w:rsidP="00712800">
      <w:pPr>
        <w:pStyle w:val="ListParagraph"/>
        <w:numPr>
          <w:ilvl w:val="0"/>
          <w:numId w:val="24"/>
        </w:numPr>
        <w:spacing w:after="160" w:line="259" w:lineRule="auto"/>
        <w:jc w:val="both"/>
        <w:rPr>
          <w:rFonts w:eastAsia="Arial" w:cs="Arial"/>
          <w:strike/>
        </w:rPr>
      </w:pPr>
      <w:r w:rsidRPr="3050D374">
        <w:rPr>
          <w:rFonts w:eastAsia="Arial" w:cs="Arial"/>
        </w:rPr>
        <w:t>Contingency for in-year additional demands or regulatory changes</w:t>
      </w:r>
      <w:r w:rsidR="72166CC3" w:rsidRPr="3050D374">
        <w:rPr>
          <w:rFonts w:eastAsia="Arial" w:cs="Arial"/>
        </w:rPr>
        <w:t xml:space="preserve"> £0.5m</w:t>
      </w:r>
    </w:p>
    <w:p w14:paraId="6C3D40CD" w14:textId="513CB561"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lastRenderedPageBreak/>
        <w:t>Cont</w:t>
      </w:r>
      <w:r w:rsidRPr="3050D374">
        <w:rPr>
          <w:rFonts w:eastAsia="Arial" w:cs="Arial"/>
        </w:rPr>
        <w:t>ingency in the capital programme for urgent additional works identified through the remaining stock condition surveys now underway (17% of the stock).</w:t>
      </w:r>
      <w:r w:rsidR="579342C1" w:rsidRPr="3050D374">
        <w:rPr>
          <w:rFonts w:eastAsia="Arial" w:cs="Arial"/>
        </w:rPr>
        <w:t xml:space="preserve"> £0.5m</w:t>
      </w:r>
    </w:p>
    <w:p w14:paraId="5B06BC06" w14:textId="79BB77A5" w:rsidR="5234A2BD" w:rsidRDefault="5234A2BD" w:rsidP="00712800">
      <w:pPr>
        <w:pStyle w:val="ListParagraph"/>
        <w:numPr>
          <w:ilvl w:val="0"/>
          <w:numId w:val="24"/>
        </w:numPr>
        <w:spacing w:after="160" w:line="259" w:lineRule="auto"/>
        <w:jc w:val="both"/>
        <w:rPr>
          <w:rFonts w:eastAsia="Arial" w:cs="Arial"/>
          <w:color w:val="000000" w:themeColor="text1"/>
        </w:rPr>
      </w:pPr>
      <w:r w:rsidRPr="3050D374">
        <w:rPr>
          <w:rFonts w:eastAsia="Arial" w:cs="Arial"/>
          <w:color w:val="000000" w:themeColor="text1"/>
        </w:rPr>
        <w:t>3x new direct delivery development schemes have also been included (Elsfield Hall, Knights Court, and Cave Street), the budget for which is currently included in the budget for purchases from OCHL.</w:t>
      </w:r>
    </w:p>
    <w:p w14:paraId="48D6228D" w14:textId="77777777" w:rsidR="006A45E5" w:rsidRPr="00572DC5" w:rsidRDefault="006A45E5" w:rsidP="006A45E5">
      <w:pPr>
        <w:pStyle w:val="NoSpacing"/>
        <w:jc w:val="both"/>
        <w:rPr>
          <w:rFonts w:ascii="Arial" w:hAnsi="Arial" w:cs="Arial"/>
          <w:sz w:val="24"/>
          <w:szCs w:val="24"/>
        </w:rPr>
      </w:pPr>
    </w:p>
    <w:p w14:paraId="55552DC6" w14:textId="66E51781" w:rsidR="00CB1092" w:rsidRPr="00572DC5" w:rsidRDefault="00CB1092" w:rsidP="002F1C48">
      <w:pPr>
        <w:tabs>
          <w:tab w:val="left" w:pos="630"/>
        </w:tabs>
        <w:autoSpaceDE w:val="0"/>
        <w:autoSpaceDN w:val="0"/>
        <w:adjustRightInd w:val="0"/>
        <w:jc w:val="both"/>
        <w:rPr>
          <w:rFonts w:cs="Arial"/>
          <w:b/>
        </w:rPr>
      </w:pPr>
      <w:r w:rsidRPr="13A39E62">
        <w:rPr>
          <w:rFonts w:cs="Arial"/>
          <w:b/>
        </w:rPr>
        <w:t xml:space="preserve">Housing Revenue Account Budget </w:t>
      </w:r>
      <w:r w:rsidRPr="13A39E62">
        <w:rPr>
          <w:rFonts w:cs="Arial"/>
          <w:b/>
          <w:bCs/>
        </w:rPr>
        <w:t>20</w:t>
      </w:r>
      <w:r w:rsidR="003B4C39" w:rsidRPr="13A39E62">
        <w:rPr>
          <w:rFonts w:cs="Arial"/>
          <w:b/>
          <w:bCs/>
        </w:rPr>
        <w:t>2</w:t>
      </w:r>
      <w:r w:rsidR="332CF3EB" w:rsidRPr="13A39E62">
        <w:rPr>
          <w:rFonts w:cs="Arial"/>
          <w:b/>
          <w:bCs/>
        </w:rPr>
        <w:t>6</w:t>
      </w:r>
      <w:r w:rsidRPr="13A39E62">
        <w:rPr>
          <w:rFonts w:cs="Arial"/>
          <w:b/>
          <w:bCs/>
        </w:rPr>
        <w:t>/</w:t>
      </w:r>
      <w:r w:rsidR="00ED4FD0" w:rsidRPr="13A39E62">
        <w:rPr>
          <w:rFonts w:cs="Arial"/>
          <w:b/>
          <w:bCs/>
        </w:rPr>
        <w:t>2</w:t>
      </w:r>
      <w:r w:rsidR="6D807366" w:rsidRPr="13A39E62">
        <w:rPr>
          <w:rFonts w:cs="Arial"/>
          <w:b/>
          <w:bCs/>
        </w:rPr>
        <w:t>7</w:t>
      </w:r>
      <w:r w:rsidRPr="13A39E62">
        <w:rPr>
          <w:rFonts w:cs="Arial"/>
          <w:b/>
        </w:rPr>
        <w:t xml:space="preserve"> to </w:t>
      </w:r>
      <w:r w:rsidRPr="13A39E62">
        <w:rPr>
          <w:rFonts w:cs="Arial"/>
          <w:b/>
          <w:bCs/>
        </w:rPr>
        <w:t>20</w:t>
      </w:r>
      <w:r w:rsidR="0A71C640" w:rsidRPr="13A39E62">
        <w:rPr>
          <w:rFonts w:cs="Arial"/>
          <w:b/>
          <w:bCs/>
        </w:rPr>
        <w:t>30</w:t>
      </w:r>
      <w:r w:rsidRPr="13A39E62">
        <w:rPr>
          <w:rFonts w:cs="Arial"/>
          <w:b/>
          <w:bCs/>
        </w:rPr>
        <w:t>/</w:t>
      </w:r>
      <w:r w:rsidR="0036428F" w:rsidRPr="13A39E62">
        <w:rPr>
          <w:rFonts w:cs="Arial"/>
          <w:b/>
          <w:bCs/>
        </w:rPr>
        <w:t>3</w:t>
      </w:r>
      <w:r w:rsidR="525FBB19" w:rsidRPr="13A39E62">
        <w:rPr>
          <w:rFonts w:cs="Arial"/>
          <w:b/>
          <w:bCs/>
        </w:rPr>
        <w:t>1</w:t>
      </w:r>
    </w:p>
    <w:p w14:paraId="3FC9DFAB" w14:textId="77777777" w:rsidR="00583D9F" w:rsidRPr="00572DC5" w:rsidRDefault="00583D9F" w:rsidP="002F1C48">
      <w:pPr>
        <w:autoSpaceDE w:val="0"/>
        <w:autoSpaceDN w:val="0"/>
        <w:adjustRightInd w:val="0"/>
        <w:ind w:left="567" w:right="380" w:hanging="567"/>
        <w:jc w:val="both"/>
        <w:rPr>
          <w:rFonts w:cs="Arial"/>
        </w:rPr>
      </w:pPr>
    </w:p>
    <w:p w14:paraId="3E967BB0" w14:textId="7F82D47E" w:rsidR="00D52114" w:rsidRPr="00572DC5" w:rsidRDefault="5046D4B1" w:rsidP="00851939">
      <w:pPr>
        <w:pStyle w:val="ListParagraph"/>
        <w:numPr>
          <w:ilvl w:val="0"/>
          <w:numId w:val="53"/>
        </w:numPr>
        <w:autoSpaceDE w:val="0"/>
        <w:autoSpaceDN w:val="0"/>
        <w:adjustRightInd w:val="0"/>
        <w:ind w:left="426" w:right="380" w:hanging="426"/>
      </w:pPr>
      <w:r w:rsidRPr="13A39E62">
        <w:rPr>
          <w:rFonts w:cs="Arial"/>
        </w:rPr>
        <w:t>A</w:t>
      </w:r>
      <w:r w:rsidR="0A93D33B" w:rsidRPr="13A39E62">
        <w:rPr>
          <w:rFonts w:cs="Arial"/>
        </w:rPr>
        <w:t xml:space="preserve">ppendix </w:t>
      </w:r>
      <w:r w:rsidR="3157C9C7" w:rsidRPr="13A39E62">
        <w:rPr>
          <w:rFonts w:cs="Arial"/>
        </w:rPr>
        <w:t>4</w:t>
      </w:r>
      <w:r w:rsidR="0A93D33B" w:rsidRPr="13A39E62">
        <w:rPr>
          <w:rFonts w:cs="Arial"/>
        </w:rPr>
        <w:t xml:space="preserve"> details the HRA Budget for the period 20</w:t>
      </w:r>
      <w:r w:rsidR="7A5CB9A0" w:rsidRPr="13A39E62">
        <w:rPr>
          <w:rFonts w:cs="Arial"/>
        </w:rPr>
        <w:t>2</w:t>
      </w:r>
      <w:r w:rsidR="4755C39C" w:rsidRPr="13A39E62">
        <w:rPr>
          <w:rFonts w:cs="Arial"/>
        </w:rPr>
        <w:t>6</w:t>
      </w:r>
      <w:r w:rsidR="0A93D33B" w:rsidRPr="13A39E62">
        <w:rPr>
          <w:rFonts w:cs="Arial"/>
        </w:rPr>
        <w:t>/</w:t>
      </w:r>
      <w:r w:rsidR="5A86DBA6" w:rsidRPr="13A39E62">
        <w:rPr>
          <w:rFonts w:cs="Arial"/>
        </w:rPr>
        <w:t>2</w:t>
      </w:r>
      <w:r w:rsidR="2E7569C7" w:rsidRPr="13A39E62">
        <w:rPr>
          <w:rFonts w:cs="Arial"/>
        </w:rPr>
        <w:t>7</w:t>
      </w:r>
      <w:r w:rsidR="0A93D33B" w:rsidRPr="13A39E62">
        <w:rPr>
          <w:rFonts w:cs="Arial"/>
        </w:rPr>
        <w:t xml:space="preserve"> to 20</w:t>
      </w:r>
      <w:r w:rsidR="0BE0CA8E" w:rsidRPr="13A39E62">
        <w:rPr>
          <w:rFonts w:cs="Arial"/>
        </w:rPr>
        <w:t>30</w:t>
      </w:r>
      <w:r w:rsidR="0A93D33B" w:rsidRPr="13A39E62">
        <w:rPr>
          <w:rFonts w:cs="Arial"/>
        </w:rPr>
        <w:t>/</w:t>
      </w:r>
      <w:r w:rsidR="0B0C421E" w:rsidRPr="13A39E62">
        <w:rPr>
          <w:rFonts w:cs="Arial"/>
        </w:rPr>
        <w:t>3</w:t>
      </w:r>
      <w:r w:rsidR="045982E0" w:rsidRPr="13A39E62">
        <w:rPr>
          <w:rFonts w:cs="Arial"/>
        </w:rPr>
        <w:t>1</w:t>
      </w:r>
      <w:r w:rsidR="0A93D33B" w:rsidRPr="13A39E62">
        <w:rPr>
          <w:rFonts w:cs="Arial"/>
        </w:rPr>
        <w:t xml:space="preserve"> </w:t>
      </w:r>
      <w:r w:rsidR="784E4A30" w:rsidRPr="13A39E62">
        <w:rPr>
          <w:rFonts w:cs="Arial"/>
        </w:rPr>
        <w:t xml:space="preserve">which </w:t>
      </w:r>
      <w:r w:rsidR="0A93D33B" w:rsidRPr="13A39E62">
        <w:rPr>
          <w:rFonts w:cs="Arial"/>
        </w:rPr>
        <w:t>is summarised below:</w:t>
      </w:r>
    </w:p>
    <w:p w14:paraId="0C619955" w14:textId="77777777" w:rsidR="00607E30" w:rsidRPr="00572DC5" w:rsidRDefault="00607E30" w:rsidP="00104315">
      <w:pPr>
        <w:pStyle w:val="ListParagraph"/>
        <w:autoSpaceDE w:val="0"/>
        <w:autoSpaceDN w:val="0"/>
        <w:adjustRightInd w:val="0"/>
        <w:ind w:left="709" w:right="380" w:hanging="709"/>
        <w:rPr>
          <w:rFonts w:cs="Arial"/>
        </w:rPr>
      </w:pPr>
    </w:p>
    <w:p w14:paraId="6A0E81CF" w14:textId="0376AB40" w:rsidR="0087246B" w:rsidRPr="00572DC5" w:rsidRDefault="1A62B38A" w:rsidP="60EA432F">
      <w:pPr>
        <w:pStyle w:val="ListParagraph"/>
        <w:autoSpaceDE w:val="0"/>
        <w:autoSpaceDN w:val="0"/>
        <w:adjustRightInd w:val="0"/>
        <w:ind w:left="780" w:right="380"/>
        <w:rPr>
          <w:rFonts w:cs="Arial"/>
          <w:b/>
        </w:rPr>
      </w:pPr>
      <w:r w:rsidRPr="13A39E62">
        <w:rPr>
          <w:rFonts w:cs="Arial"/>
          <w:b/>
        </w:rPr>
        <w:t>Table 1</w:t>
      </w:r>
      <w:r w:rsidR="009004FF">
        <w:rPr>
          <w:rFonts w:cs="Arial"/>
          <w:b/>
        </w:rPr>
        <w:t>1</w:t>
      </w:r>
      <w:r w:rsidRPr="13A39E62">
        <w:rPr>
          <w:rFonts w:cs="Arial"/>
          <w:b/>
        </w:rPr>
        <w:t xml:space="preserve"> – Housing Revenue Account (HRA) </w:t>
      </w:r>
      <w:r w:rsidRPr="13A39E62">
        <w:rPr>
          <w:rFonts w:cs="Arial"/>
          <w:b/>
          <w:bCs/>
        </w:rPr>
        <w:t>202</w:t>
      </w:r>
      <w:r w:rsidR="31035FCD" w:rsidRPr="13A39E62">
        <w:rPr>
          <w:rFonts w:cs="Arial"/>
          <w:b/>
          <w:bCs/>
        </w:rPr>
        <w:t>6</w:t>
      </w:r>
      <w:r w:rsidRPr="13A39E62">
        <w:rPr>
          <w:rFonts w:cs="Arial"/>
          <w:b/>
          <w:bCs/>
        </w:rPr>
        <w:t>-2</w:t>
      </w:r>
      <w:r w:rsidR="3BF73F89" w:rsidRPr="13A39E62">
        <w:rPr>
          <w:rFonts w:cs="Arial"/>
          <w:b/>
          <w:bCs/>
        </w:rPr>
        <w:t>7</w:t>
      </w:r>
      <w:r w:rsidR="5C2BA450" w:rsidRPr="13A39E62">
        <w:rPr>
          <w:rFonts w:cs="Arial"/>
          <w:b/>
        </w:rPr>
        <w:t xml:space="preserve"> to</w:t>
      </w:r>
      <w:r w:rsidRPr="13A39E62">
        <w:rPr>
          <w:rFonts w:cs="Arial"/>
          <w:b/>
        </w:rPr>
        <w:t xml:space="preserve"> </w:t>
      </w:r>
      <w:r w:rsidRPr="13A39E62">
        <w:rPr>
          <w:rFonts w:cs="Arial"/>
          <w:b/>
          <w:bCs/>
        </w:rPr>
        <w:t>20</w:t>
      </w:r>
      <w:r w:rsidR="7C9D545C" w:rsidRPr="13A39E62">
        <w:rPr>
          <w:rFonts w:cs="Arial"/>
          <w:b/>
          <w:bCs/>
        </w:rPr>
        <w:t>30</w:t>
      </w:r>
      <w:r w:rsidRPr="13A39E62">
        <w:rPr>
          <w:rFonts w:cs="Arial"/>
          <w:b/>
          <w:bCs/>
        </w:rPr>
        <w:t>-</w:t>
      </w:r>
      <w:r w:rsidR="79EEE45E" w:rsidRPr="13A39E62">
        <w:rPr>
          <w:rFonts w:cs="Arial"/>
          <w:b/>
          <w:bCs/>
        </w:rPr>
        <w:t>3</w:t>
      </w:r>
      <w:r w:rsidR="46FE3574" w:rsidRPr="13A39E62">
        <w:rPr>
          <w:rFonts w:cs="Arial"/>
          <w:b/>
          <w:bCs/>
        </w:rPr>
        <w:t>1</w:t>
      </w:r>
    </w:p>
    <w:p w14:paraId="6A54D356" w14:textId="77777777" w:rsidR="00092035" w:rsidRPr="00572DC5" w:rsidRDefault="00092035" w:rsidP="00092035">
      <w:pPr>
        <w:autoSpaceDE w:val="0"/>
        <w:autoSpaceDN w:val="0"/>
        <w:adjustRightInd w:val="0"/>
        <w:ind w:right="380"/>
        <w:rPr>
          <w:rFonts w:cs="Arial"/>
          <w:b/>
          <w:highlight w:val="yellow"/>
        </w:rPr>
      </w:pPr>
    </w:p>
    <w:tbl>
      <w:tblPr>
        <w:tblW w:w="9117" w:type="dxa"/>
        <w:tblInd w:w="9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737"/>
        <w:gridCol w:w="1276"/>
        <w:gridCol w:w="1276"/>
        <w:gridCol w:w="1276"/>
        <w:gridCol w:w="1276"/>
        <w:gridCol w:w="1276"/>
      </w:tblGrid>
      <w:tr w:rsidR="00495E37" w:rsidRPr="00572DC5" w14:paraId="5AEF98F8" w14:textId="3E0D8718" w:rsidTr="381A1FF6">
        <w:trPr>
          <w:trHeight w:val="300"/>
        </w:trPr>
        <w:tc>
          <w:tcPr>
            <w:tcW w:w="2737" w:type="dxa"/>
            <w:noWrap/>
            <w:vAlign w:val="bottom"/>
            <w:hideMark/>
          </w:tcPr>
          <w:p w14:paraId="73072043" w14:textId="77777777" w:rsidR="00495E37" w:rsidRPr="00572DC5" w:rsidRDefault="00495E37" w:rsidP="00495E37">
            <w:pPr>
              <w:rPr>
                <w:rFonts w:cs="Arial"/>
                <w:b/>
                <w:bCs/>
                <w:color w:val="000000"/>
                <w:sz w:val="22"/>
                <w:szCs w:val="22"/>
                <w:highlight w:val="yellow"/>
                <w:lang w:eastAsia="en-GB"/>
              </w:rPr>
            </w:pPr>
          </w:p>
        </w:tc>
        <w:tc>
          <w:tcPr>
            <w:tcW w:w="1276" w:type="dxa"/>
            <w:noWrap/>
            <w:vAlign w:val="bottom"/>
            <w:hideMark/>
          </w:tcPr>
          <w:p w14:paraId="5EEA3A10" w14:textId="77777777" w:rsidR="00495E37" w:rsidRPr="00572DC5" w:rsidRDefault="00495E37" w:rsidP="00495E37">
            <w:pPr>
              <w:jc w:val="center"/>
              <w:rPr>
                <w:rFonts w:cs="Arial"/>
                <w:b/>
                <w:color w:val="000000"/>
                <w:sz w:val="22"/>
                <w:szCs w:val="22"/>
                <w:lang w:eastAsia="en-GB"/>
              </w:rPr>
            </w:pPr>
            <w:r w:rsidRPr="381A1FF6">
              <w:rPr>
                <w:rFonts w:cs="Arial"/>
                <w:b/>
                <w:color w:val="000000" w:themeColor="text1"/>
                <w:sz w:val="22"/>
                <w:szCs w:val="22"/>
                <w:lang w:eastAsia="en-GB"/>
              </w:rPr>
              <w:t>2026/27</w:t>
            </w:r>
          </w:p>
          <w:p w14:paraId="5AC25087" w14:textId="77777777" w:rsidR="00495E37" w:rsidRPr="00572DC5" w:rsidRDefault="00495E37" w:rsidP="00495E37">
            <w:pPr>
              <w:jc w:val="center"/>
              <w:rPr>
                <w:rFonts w:cs="Arial"/>
                <w:color w:val="000000"/>
                <w:sz w:val="22"/>
                <w:szCs w:val="22"/>
                <w:lang w:eastAsia="en-GB"/>
              </w:rPr>
            </w:pPr>
            <w:r w:rsidRPr="381A1FF6">
              <w:rPr>
                <w:rFonts w:cs="Arial"/>
                <w:b/>
                <w:color w:val="000000" w:themeColor="text1"/>
                <w:sz w:val="22"/>
                <w:szCs w:val="22"/>
                <w:lang w:eastAsia="en-GB"/>
              </w:rPr>
              <w:t>£000’s</w:t>
            </w:r>
          </w:p>
        </w:tc>
        <w:tc>
          <w:tcPr>
            <w:tcW w:w="1276" w:type="dxa"/>
            <w:noWrap/>
            <w:vAlign w:val="bottom"/>
            <w:hideMark/>
          </w:tcPr>
          <w:p w14:paraId="6B982747" w14:textId="77777777" w:rsidR="00495E37" w:rsidRPr="00572DC5" w:rsidRDefault="00495E37" w:rsidP="00495E37">
            <w:pPr>
              <w:jc w:val="center"/>
              <w:rPr>
                <w:rFonts w:cs="Arial"/>
                <w:b/>
                <w:color w:val="000000"/>
                <w:sz w:val="22"/>
                <w:szCs w:val="22"/>
                <w:lang w:eastAsia="en-GB"/>
              </w:rPr>
            </w:pPr>
            <w:r w:rsidRPr="381A1FF6">
              <w:rPr>
                <w:rFonts w:cs="Arial"/>
                <w:b/>
                <w:color w:val="000000" w:themeColor="text1"/>
                <w:sz w:val="22"/>
                <w:szCs w:val="22"/>
                <w:lang w:eastAsia="en-GB"/>
              </w:rPr>
              <w:t>2027/28</w:t>
            </w:r>
          </w:p>
          <w:p w14:paraId="4727BFA3" w14:textId="77777777" w:rsidR="00495E37" w:rsidRPr="00572DC5" w:rsidRDefault="00495E37" w:rsidP="00495E37">
            <w:pPr>
              <w:jc w:val="center"/>
              <w:rPr>
                <w:rFonts w:cs="Arial"/>
                <w:color w:val="000000"/>
                <w:sz w:val="22"/>
                <w:szCs w:val="22"/>
                <w:lang w:eastAsia="en-GB"/>
              </w:rPr>
            </w:pPr>
            <w:r w:rsidRPr="381A1FF6">
              <w:rPr>
                <w:rFonts w:cs="Arial"/>
                <w:b/>
                <w:color w:val="000000" w:themeColor="text1"/>
                <w:sz w:val="22"/>
                <w:szCs w:val="22"/>
                <w:lang w:eastAsia="en-GB"/>
              </w:rPr>
              <w:t>£000’s</w:t>
            </w:r>
          </w:p>
        </w:tc>
        <w:tc>
          <w:tcPr>
            <w:tcW w:w="1276" w:type="dxa"/>
            <w:vAlign w:val="bottom"/>
          </w:tcPr>
          <w:p w14:paraId="78B14392" w14:textId="35E61CCE" w:rsidR="00495E37" w:rsidRPr="00572DC5" w:rsidRDefault="00495E37" w:rsidP="00495E37">
            <w:pPr>
              <w:jc w:val="center"/>
              <w:rPr>
                <w:rFonts w:cs="Arial"/>
                <w:b/>
                <w:color w:val="000000"/>
                <w:sz w:val="22"/>
                <w:szCs w:val="22"/>
                <w:lang w:eastAsia="en-GB"/>
              </w:rPr>
            </w:pPr>
            <w:r w:rsidRPr="381A1FF6">
              <w:rPr>
                <w:rFonts w:cs="Arial"/>
                <w:b/>
                <w:color w:val="000000" w:themeColor="text1"/>
                <w:sz w:val="22"/>
                <w:szCs w:val="22"/>
                <w:lang w:eastAsia="en-GB"/>
              </w:rPr>
              <w:t>2028/29</w:t>
            </w:r>
          </w:p>
          <w:p w14:paraId="1A5E888A" w14:textId="1E3473B3" w:rsidR="00495E37" w:rsidRPr="00572DC5" w:rsidRDefault="00495E37" w:rsidP="00495E37">
            <w:pPr>
              <w:jc w:val="center"/>
              <w:rPr>
                <w:rFonts w:cs="Arial"/>
                <w:b/>
                <w:color w:val="000000"/>
                <w:sz w:val="22"/>
                <w:szCs w:val="22"/>
                <w:lang w:eastAsia="en-GB"/>
              </w:rPr>
            </w:pPr>
            <w:r w:rsidRPr="381A1FF6">
              <w:rPr>
                <w:rFonts w:cs="Arial"/>
                <w:b/>
                <w:color w:val="000000" w:themeColor="text1"/>
                <w:sz w:val="22"/>
                <w:szCs w:val="22"/>
                <w:lang w:eastAsia="en-GB"/>
              </w:rPr>
              <w:t>£000’s</w:t>
            </w:r>
          </w:p>
        </w:tc>
        <w:tc>
          <w:tcPr>
            <w:tcW w:w="1276" w:type="dxa"/>
            <w:vAlign w:val="bottom"/>
          </w:tcPr>
          <w:p w14:paraId="3F951D6D" w14:textId="2F91B26B" w:rsidR="00495E37" w:rsidRPr="00572DC5" w:rsidRDefault="00495E37" w:rsidP="00495E37">
            <w:pPr>
              <w:jc w:val="center"/>
              <w:rPr>
                <w:rFonts w:cs="Arial"/>
                <w:b/>
                <w:color w:val="000000"/>
                <w:sz w:val="22"/>
                <w:szCs w:val="22"/>
                <w:lang w:eastAsia="en-GB"/>
              </w:rPr>
            </w:pPr>
            <w:r w:rsidRPr="381A1FF6">
              <w:rPr>
                <w:rFonts w:cs="Arial"/>
                <w:b/>
                <w:color w:val="000000" w:themeColor="text1"/>
                <w:sz w:val="22"/>
                <w:szCs w:val="22"/>
                <w:lang w:eastAsia="en-GB"/>
              </w:rPr>
              <w:t>2029/30</w:t>
            </w:r>
          </w:p>
          <w:p w14:paraId="30FC69E8" w14:textId="361BCF13" w:rsidR="00495E37" w:rsidRPr="00572DC5" w:rsidRDefault="00495E37" w:rsidP="00495E37">
            <w:pPr>
              <w:jc w:val="center"/>
              <w:rPr>
                <w:rFonts w:cs="Arial"/>
                <w:b/>
                <w:color w:val="000000"/>
                <w:sz w:val="22"/>
                <w:szCs w:val="22"/>
                <w:lang w:eastAsia="en-GB"/>
              </w:rPr>
            </w:pPr>
            <w:r w:rsidRPr="381A1FF6">
              <w:rPr>
                <w:rFonts w:cs="Arial"/>
                <w:b/>
                <w:color w:val="000000" w:themeColor="text1"/>
                <w:sz w:val="22"/>
                <w:szCs w:val="22"/>
                <w:lang w:eastAsia="en-GB"/>
              </w:rPr>
              <w:t>£000’s</w:t>
            </w:r>
          </w:p>
        </w:tc>
        <w:tc>
          <w:tcPr>
            <w:tcW w:w="1276" w:type="dxa"/>
            <w:vAlign w:val="bottom"/>
          </w:tcPr>
          <w:p w14:paraId="42B32A9A" w14:textId="09E8C2BD" w:rsidR="381A1FF6" w:rsidRDefault="381A1FF6" w:rsidP="381A1FF6">
            <w:pPr>
              <w:jc w:val="center"/>
              <w:rPr>
                <w:rFonts w:cs="Arial"/>
                <w:b/>
                <w:bCs/>
                <w:color w:val="000000" w:themeColor="text1"/>
                <w:sz w:val="22"/>
                <w:szCs w:val="22"/>
                <w:lang w:eastAsia="en-GB"/>
              </w:rPr>
            </w:pPr>
            <w:r w:rsidRPr="381A1FF6">
              <w:rPr>
                <w:rFonts w:cs="Arial"/>
                <w:b/>
                <w:bCs/>
                <w:color w:val="000000" w:themeColor="text1"/>
                <w:sz w:val="22"/>
                <w:szCs w:val="22"/>
                <w:lang w:eastAsia="en-GB"/>
              </w:rPr>
              <w:t>20</w:t>
            </w:r>
            <w:r w:rsidR="69B36863" w:rsidRPr="381A1FF6">
              <w:rPr>
                <w:rFonts w:cs="Arial"/>
                <w:b/>
                <w:bCs/>
                <w:color w:val="000000" w:themeColor="text1"/>
                <w:sz w:val="22"/>
                <w:szCs w:val="22"/>
                <w:lang w:eastAsia="en-GB"/>
              </w:rPr>
              <w:t>30</w:t>
            </w:r>
            <w:r w:rsidRPr="381A1FF6">
              <w:rPr>
                <w:rFonts w:cs="Arial"/>
                <w:b/>
                <w:bCs/>
                <w:color w:val="000000" w:themeColor="text1"/>
                <w:sz w:val="22"/>
                <w:szCs w:val="22"/>
                <w:lang w:eastAsia="en-GB"/>
              </w:rPr>
              <w:t>/3</w:t>
            </w:r>
            <w:r w:rsidR="6280E4DA" w:rsidRPr="381A1FF6">
              <w:rPr>
                <w:rFonts w:cs="Arial"/>
                <w:b/>
                <w:bCs/>
                <w:color w:val="000000" w:themeColor="text1"/>
                <w:sz w:val="22"/>
                <w:szCs w:val="22"/>
                <w:lang w:eastAsia="en-GB"/>
              </w:rPr>
              <w:t>1</w:t>
            </w:r>
          </w:p>
          <w:p w14:paraId="76DD087C" w14:textId="15D339C8" w:rsidR="381A1FF6" w:rsidRPr="381A1FF6" w:rsidRDefault="381A1FF6" w:rsidP="381A1FF6">
            <w:pPr>
              <w:jc w:val="center"/>
              <w:rPr>
                <w:rFonts w:cs="Arial"/>
                <w:b/>
                <w:bCs/>
                <w:color w:val="000000" w:themeColor="text1"/>
                <w:sz w:val="22"/>
                <w:szCs w:val="22"/>
                <w:lang w:eastAsia="en-GB"/>
              </w:rPr>
            </w:pPr>
            <w:r w:rsidRPr="381A1FF6">
              <w:rPr>
                <w:rFonts w:cs="Arial"/>
                <w:b/>
                <w:bCs/>
                <w:color w:val="000000" w:themeColor="text1"/>
                <w:sz w:val="22"/>
                <w:szCs w:val="22"/>
                <w:lang w:eastAsia="en-GB"/>
              </w:rPr>
              <w:t>£000’s</w:t>
            </w:r>
          </w:p>
        </w:tc>
      </w:tr>
      <w:tr w:rsidR="00495E37" w:rsidRPr="00572DC5" w14:paraId="2A30E08C" w14:textId="711AFB36" w:rsidTr="381A1FF6">
        <w:trPr>
          <w:trHeight w:val="300"/>
        </w:trPr>
        <w:tc>
          <w:tcPr>
            <w:tcW w:w="2737" w:type="dxa"/>
            <w:noWrap/>
            <w:vAlign w:val="bottom"/>
            <w:hideMark/>
          </w:tcPr>
          <w:p w14:paraId="34CC4A3F" w14:textId="77777777" w:rsidR="00495E37" w:rsidRPr="00572DC5" w:rsidRDefault="00495E37" w:rsidP="00495E37">
            <w:pPr>
              <w:rPr>
                <w:rFonts w:cs="Arial"/>
                <w:b/>
                <w:bCs/>
                <w:color w:val="000000"/>
                <w:sz w:val="22"/>
                <w:szCs w:val="22"/>
                <w:highlight w:val="yellow"/>
                <w:lang w:eastAsia="en-GB"/>
              </w:rPr>
            </w:pPr>
          </w:p>
        </w:tc>
        <w:tc>
          <w:tcPr>
            <w:tcW w:w="1276" w:type="dxa"/>
            <w:noWrap/>
            <w:vAlign w:val="bottom"/>
            <w:hideMark/>
          </w:tcPr>
          <w:p w14:paraId="7CE9F5FE" w14:textId="77777777" w:rsidR="00495E37" w:rsidRPr="00572DC5" w:rsidRDefault="00495E37" w:rsidP="00495E37">
            <w:pPr>
              <w:jc w:val="right"/>
              <w:rPr>
                <w:rFonts w:cs="Arial"/>
                <w:color w:val="000000"/>
                <w:sz w:val="22"/>
                <w:szCs w:val="22"/>
                <w:lang w:eastAsia="en-GB"/>
              </w:rPr>
            </w:pPr>
            <w:r w:rsidRPr="3050D374">
              <w:rPr>
                <w:rFonts w:cs="Arial"/>
                <w:color w:val="000000" w:themeColor="text1"/>
                <w:sz w:val="22"/>
                <w:szCs w:val="22"/>
                <w:lang w:eastAsia="en-GB"/>
              </w:rPr>
              <w:t> </w:t>
            </w:r>
          </w:p>
        </w:tc>
        <w:tc>
          <w:tcPr>
            <w:tcW w:w="1276" w:type="dxa"/>
            <w:noWrap/>
            <w:vAlign w:val="bottom"/>
            <w:hideMark/>
          </w:tcPr>
          <w:p w14:paraId="368F154C" w14:textId="77777777" w:rsidR="00495E37" w:rsidRPr="00572DC5" w:rsidRDefault="00495E37" w:rsidP="00495E37">
            <w:pPr>
              <w:jc w:val="right"/>
              <w:rPr>
                <w:rFonts w:cs="Arial"/>
                <w:color w:val="000000"/>
                <w:sz w:val="22"/>
                <w:szCs w:val="22"/>
                <w:lang w:eastAsia="en-GB"/>
              </w:rPr>
            </w:pPr>
            <w:r w:rsidRPr="3050D374">
              <w:rPr>
                <w:rFonts w:cs="Arial"/>
                <w:color w:val="000000" w:themeColor="text1"/>
                <w:sz w:val="22"/>
                <w:szCs w:val="22"/>
                <w:lang w:eastAsia="en-GB"/>
              </w:rPr>
              <w:t> </w:t>
            </w:r>
          </w:p>
        </w:tc>
        <w:tc>
          <w:tcPr>
            <w:tcW w:w="1276" w:type="dxa"/>
          </w:tcPr>
          <w:p w14:paraId="2B76509C" w14:textId="77777777" w:rsidR="00495E37" w:rsidRPr="00572DC5" w:rsidRDefault="00495E37" w:rsidP="00495E37">
            <w:pPr>
              <w:jc w:val="right"/>
              <w:rPr>
                <w:rFonts w:cs="Arial"/>
                <w:color w:val="000000"/>
                <w:sz w:val="22"/>
                <w:szCs w:val="22"/>
                <w:lang w:eastAsia="en-GB"/>
              </w:rPr>
            </w:pPr>
          </w:p>
        </w:tc>
        <w:tc>
          <w:tcPr>
            <w:tcW w:w="1276" w:type="dxa"/>
          </w:tcPr>
          <w:p w14:paraId="6EC1831C" w14:textId="77777777" w:rsidR="00495E37" w:rsidRPr="00572DC5" w:rsidRDefault="00495E37" w:rsidP="00495E37">
            <w:pPr>
              <w:jc w:val="right"/>
              <w:rPr>
                <w:rFonts w:cs="Arial"/>
                <w:color w:val="000000"/>
                <w:sz w:val="22"/>
                <w:szCs w:val="22"/>
                <w:highlight w:val="yellow"/>
                <w:lang w:eastAsia="en-GB"/>
              </w:rPr>
            </w:pPr>
          </w:p>
        </w:tc>
        <w:tc>
          <w:tcPr>
            <w:tcW w:w="1276" w:type="dxa"/>
          </w:tcPr>
          <w:p w14:paraId="0B15457B" w14:textId="77777777" w:rsidR="381A1FF6" w:rsidRDefault="381A1FF6" w:rsidP="381A1FF6">
            <w:pPr>
              <w:jc w:val="right"/>
              <w:rPr>
                <w:rFonts w:cs="Arial"/>
                <w:color w:val="000000" w:themeColor="text1"/>
                <w:sz w:val="22"/>
                <w:szCs w:val="22"/>
                <w:highlight w:val="yellow"/>
                <w:lang w:eastAsia="en-GB"/>
              </w:rPr>
            </w:pPr>
          </w:p>
        </w:tc>
      </w:tr>
      <w:tr w:rsidR="00495E37" w:rsidRPr="00572DC5" w14:paraId="2B5D15AC" w14:textId="57BFB2A2" w:rsidTr="381A1FF6">
        <w:trPr>
          <w:trHeight w:val="300"/>
        </w:trPr>
        <w:tc>
          <w:tcPr>
            <w:tcW w:w="2737" w:type="dxa"/>
            <w:noWrap/>
            <w:vAlign w:val="bottom"/>
            <w:hideMark/>
          </w:tcPr>
          <w:p w14:paraId="30232FD4" w14:textId="77777777" w:rsidR="00495E37" w:rsidRPr="00572DC5" w:rsidRDefault="00495E37" w:rsidP="00495E37">
            <w:pPr>
              <w:rPr>
                <w:rFonts w:cs="Arial"/>
                <w:color w:val="000000"/>
                <w:sz w:val="22"/>
                <w:szCs w:val="22"/>
                <w:lang w:eastAsia="en-GB"/>
              </w:rPr>
            </w:pPr>
            <w:r w:rsidRPr="381A1FF6">
              <w:rPr>
                <w:rFonts w:cs="Arial"/>
                <w:color w:val="000000" w:themeColor="text1"/>
                <w:sz w:val="22"/>
                <w:szCs w:val="22"/>
                <w:lang w:eastAsia="en-GB"/>
              </w:rPr>
              <w:t>Income</w:t>
            </w:r>
          </w:p>
        </w:tc>
        <w:tc>
          <w:tcPr>
            <w:tcW w:w="1276" w:type="dxa"/>
            <w:noWrap/>
            <w:vAlign w:val="center"/>
          </w:tcPr>
          <w:p w14:paraId="4531BDEB" w14:textId="51D50388" w:rsidR="00495E37" w:rsidRPr="00572DC5" w:rsidRDefault="4551D136" w:rsidP="003C0EA0">
            <w:pPr>
              <w:jc w:val="right"/>
              <w:rPr>
                <w:rFonts w:cs="Arial"/>
                <w:color w:val="000000"/>
                <w:sz w:val="22"/>
                <w:szCs w:val="22"/>
                <w:lang w:eastAsia="en-GB"/>
              </w:rPr>
            </w:pPr>
            <w:r w:rsidRPr="3050D374">
              <w:rPr>
                <w:rFonts w:cs="Arial"/>
                <w:color w:val="000000" w:themeColor="text1"/>
                <w:sz w:val="22"/>
                <w:szCs w:val="22"/>
                <w:lang w:eastAsia="en-GB"/>
              </w:rPr>
              <w:t>(6</w:t>
            </w:r>
            <w:r w:rsidR="4120B565" w:rsidRPr="3050D374">
              <w:rPr>
                <w:rFonts w:cs="Arial"/>
                <w:color w:val="000000" w:themeColor="text1"/>
                <w:sz w:val="22"/>
                <w:szCs w:val="22"/>
                <w:lang w:eastAsia="en-GB"/>
              </w:rPr>
              <w:t>8,207</w:t>
            </w:r>
            <w:r w:rsidRPr="3050D374">
              <w:rPr>
                <w:rFonts w:cs="Arial"/>
                <w:color w:val="000000" w:themeColor="text1"/>
                <w:sz w:val="22"/>
                <w:szCs w:val="22"/>
                <w:lang w:eastAsia="en-GB"/>
              </w:rPr>
              <w:t>)</w:t>
            </w:r>
          </w:p>
        </w:tc>
        <w:tc>
          <w:tcPr>
            <w:tcW w:w="1276" w:type="dxa"/>
            <w:noWrap/>
            <w:vAlign w:val="center"/>
          </w:tcPr>
          <w:p w14:paraId="204FAAED" w14:textId="2C4933C7" w:rsidR="00495E37" w:rsidRPr="00572DC5" w:rsidRDefault="167F3701" w:rsidP="003C0EA0">
            <w:pPr>
              <w:jc w:val="right"/>
              <w:rPr>
                <w:rFonts w:cs="Arial"/>
                <w:color w:val="000000"/>
                <w:sz w:val="22"/>
                <w:szCs w:val="22"/>
                <w:lang w:eastAsia="en-GB"/>
              </w:rPr>
            </w:pPr>
            <w:r w:rsidRPr="3050D374">
              <w:rPr>
                <w:rFonts w:cs="Arial"/>
                <w:color w:val="000000" w:themeColor="text1"/>
                <w:sz w:val="22"/>
                <w:szCs w:val="22"/>
                <w:lang w:eastAsia="en-GB"/>
              </w:rPr>
              <w:t>(</w:t>
            </w:r>
            <w:r w:rsidR="56509179" w:rsidRPr="3050D374">
              <w:rPr>
                <w:rFonts w:cs="Arial"/>
                <w:color w:val="000000" w:themeColor="text1"/>
                <w:sz w:val="22"/>
                <w:szCs w:val="22"/>
                <w:lang w:eastAsia="en-GB"/>
              </w:rPr>
              <w:t>7</w:t>
            </w:r>
            <w:r w:rsidR="430E3FE2" w:rsidRPr="3050D374">
              <w:rPr>
                <w:rFonts w:cs="Arial"/>
                <w:color w:val="000000" w:themeColor="text1"/>
                <w:sz w:val="22"/>
                <w:szCs w:val="22"/>
                <w:lang w:eastAsia="en-GB"/>
              </w:rPr>
              <w:t>4,958</w:t>
            </w:r>
            <w:r w:rsidRPr="3050D374">
              <w:rPr>
                <w:rFonts w:cs="Arial"/>
                <w:color w:val="000000" w:themeColor="text1"/>
                <w:sz w:val="22"/>
                <w:szCs w:val="22"/>
                <w:lang w:eastAsia="en-GB"/>
              </w:rPr>
              <w:t>)</w:t>
            </w:r>
          </w:p>
        </w:tc>
        <w:tc>
          <w:tcPr>
            <w:tcW w:w="1276" w:type="dxa"/>
            <w:vAlign w:val="center"/>
          </w:tcPr>
          <w:p w14:paraId="25AAC1EE" w14:textId="5D18344E" w:rsidR="00495E37" w:rsidRPr="00572DC5" w:rsidRDefault="167F3701" w:rsidP="003C0EA0">
            <w:pPr>
              <w:jc w:val="right"/>
              <w:rPr>
                <w:rFonts w:cs="Arial"/>
                <w:color w:val="000000"/>
                <w:sz w:val="22"/>
                <w:szCs w:val="22"/>
                <w:lang w:eastAsia="en-GB"/>
              </w:rPr>
            </w:pPr>
            <w:r w:rsidRPr="3050D374">
              <w:rPr>
                <w:rFonts w:cs="Arial"/>
                <w:color w:val="000000" w:themeColor="text1"/>
                <w:sz w:val="22"/>
                <w:szCs w:val="22"/>
                <w:lang w:eastAsia="en-GB"/>
              </w:rPr>
              <w:t>(</w:t>
            </w:r>
            <w:r w:rsidR="4BF31239" w:rsidRPr="3050D374">
              <w:rPr>
                <w:rFonts w:cs="Arial"/>
                <w:color w:val="000000" w:themeColor="text1"/>
                <w:sz w:val="22"/>
                <w:szCs w:val="22"/>
                <w:lang w:eastAsia="en-GB"/>
              </w:rPr>
              <w:t>78,766</w:t>
            </w:r>
            <w:r w:rsidRPr="3050D374">
              <w:rPr>
                <w:rFonts w:cs="Arial"/>
                <w:color w:val="000000" w:themeColor="text1"/>
                <w:sz w:val="22"/>
                <w:szCs w:val="22"/>
                <w:lang w:eastAsia="en-GB"/>
              </w:rPr>
              <w:t>)</w:t>
            </w:r>
          </w:p>
        </w:tc>
        <w:tc>
          <w:tcPr>
            <w:tcW w:w="1276" w:type="dxa"/>
            <w:vAlign w:val="center"/>
          </w:tcPr>
          <w:p w14:paraId="35DCA96B" w14:textId="6A681EFB" w:rsidR="00495E37" w:rsidRPr="00572DC5" w:rsidRDefault="167F3701" w:rsidP="003C0EA0">
            <w:pPr>
              <w:jc w:val="right"/>
              <w:rPr>
                <w:rFonts w:cs="Arial"/>
                <w:color w:val="000000"/>
                <w:sz w:val="22"/>
                <w:szCs w:val="22"/>
                <w:lang w:eastAsia="en-GB"/>
              </w:rPr>
            </w:pPr>
            <w:r w:rsidRPr="3050D374">
              <w:rPr>
                <w:rFonts w:cs="Arial"/>
                <w:color w:val="000000" w:themeColor="text1"/>
                <w:sz w:val="22"/>
                <w:szCs w:val="22"/>
                <w:lang w:eastAsia="en-GB"/>
              </w:rPr>
              <w:t>(</w:t>
            </w:r>
            <w:r w:rsidR="0CFE53D1" w:rsidRPr="3050D374">
              <w:rPr>
                <w:rFonts w:cs="Arial"/>
                <w:color w:val="000000" w:themeColor="text1"/>
                <w:sz w:val="22"/>
                <w:szCs w:val="22"/>
                <w:lang w:eastAsia="en-GB"/>
              </w:rPr>
              <w:t>84,390</w:t>
            </w:r>
            <w:r w:rsidRPr="3050D374">
              <w:rPr>
                <w:rFonts w:cs="Arial"/>
                <w:color w:val="000000" w:themeColor="text1"/>
                <w:sz w:val="22"/>
                <w:szCs w:val="22"/>
                <w:lang w:eastAsia="en-GB"/>
              </w:rPr>
              <w:t>)</w:t>
            </w:r>
          </w:p>
        </w:tc>
        <w:tc>
          <w:tcPr>
            <w:tcW w:w="1276" w:type="dxa"/>
            <w:vAlign w:val="center"/>
          </w:tcPr>
          <w:p w14:paraId="79A5678A" w14:textId="1DC2A99E" w:rsidR="381A1FF6" w:rsidRPr="381A1FF6" w:rsidRDefault="295E23B3" w:rsidP="381A1FF6">
            <w:pPr>
              <w:jc w:val="right"/>
              <w:rPr>
                <w:rFonts w:cs="Arial"/>
                <w:color w:val="000000" w:themeColor="text1"/>
                <w:sz w:val="22"/>
                <w:szCs w:val="22"/>
                <w:lang w:eastAsia="en-GB"/>
              </w:rPr>
            </w:pPr>
            <w:r w:rsidRPr="3050D374">
              <w:rPr>
                <w:rFonts w:cs="Arial"/>
                <w:color w:val="000000" w:themeColor="text1"/>
                <w:sz w:val="22"/>
                <w:szCs w:val="22"/>
                <w:lang w:eastAsia="en-GB"/>
              </w:rPr>
              <w:t>(</w:t>
            </w:r>
            <w:r w:rsidR="48FA9D01" w:rsidRPr="3050D374">
              <w:rPr>
                <w:rFonts w:cs="Arial"/>
                <w:color w:val="000000" w:themeColor="text1"/>
                <w:sz w:val="22"/>
                <w:szCs w:val="22"/>
                <w:lang w:eastAsia="en-GB"/>
              </w:rPr>
              <w:t>8</w:t>
            </w:r>
            <w:r w:rsidR="24793968" w:rsidRPr="3050D374">
              <w:rPr>
                <w:rFonts w:cs="Arial"/>
                <w:color w:val="000000" w:themeColor="text1"/>
                <w:sz w:val="22"/>
                <w:szCs w:val="22"/>
                <w:lang w:eastAsia="en-GB"/>
              </w:rPr>
              <w:t>9,017</w:t>
            </w:r>
            <w:r w:rsidRPr="3050D374">
              <w:rPr>
                <w:rFonts w:cs="Arial"/>
                <w:color w:val="000000" w:themeColor="text1"/>
                <w:sz w:val="22"/>
                <w:szCs w:val="22"/>
                <w:lang w:eastAsia="en-GB"/>
              </w:rPr>
              <w:t>)</w:t>
            </w:r>
          </w:p>
        </w:tc>
      </w:tr>
      <w:tr w:rsidR="003F75D9" w:rsidRPr="00572DC5" w14:paraId="0B735187" w14:textId="6010D7D6" w:rsidTr="381A1FF6">
        <w:trPr>
          <w:trHeight w:val="300"/>
        </w:trPr>
        <w:tc>
          <w:tcPr>
            <w:tcW w:w="2737" w:type="dxa"/>
            <w:tcBorders>
              <w:bottom w:val="single" w:sz="4" w:space="0" w:color="auto"/>
            </w:tcBorders>
            <w:noWrap/>
            <w:vAlign w:val="bottom"/>
          </w:tcPr>
          <w:p w14:paraId="2D153D94" w14:textId="77777777" w:rsidR="003F75D9" w:rsidRPr="00572DC5" w:rsidRDefault="003F75D9" w:rsidP="003F75D9">
            <w:pPr>
              <w:rPr>
                <w:rFonts w:cs="Arial"/>
                <w:color w:val="000000"/>
                <w:sz w:val="22"/>
                <w:szCs w:val="22"/>
                <w:lang w:eastAsia="en-GB"/>
              </w:rPr>
            </w:pPr>
            <w:r w:rsidRPr="381A1FF6">
              <w:rPr>
                <w:rFonts w:cs="Arial"/>
                <w:color w:val="000000" w:themeColor="text1"/>
                <w:sz w:val="22"/>
                <w:szCs w:val="22"/>
                <w:lang w:eastAsia="en-GB"/>
              </w:rPr>
              <w:t>Expenditure</w:t>
            </w:r>
          </w:p>
        </w:tc>
        <w:tc>
          <w:tcPr>
            <w:tcW w:w="1276" w:type="dxa"/>
            <w:tcBorders>
              <w:bottom w:val="single" w:sz="4" w:space="0" w:color="auto"/>
            </w:tcBorders>
            <w:noWrap/>
          </w:tcPr>
          <w:p w14:paraId="6921B015" w14:textId="2BA6450D" w:rsidR="003F75D9" w:rsidRPr="00572DC5" w:rsidRDefault="671F505F" w:rsidP="003F75D9">
            <w:pPr>
              <w:jc w:val="right"/>
              <w:rPr>
                <w:sz w:val="22"/>
                <w:szCs w:val="22"/>
                <w:lang w:eastAsia="en-GB"/>
              </w:rPr>
            </w:pPr>
            <w:r w:rsidRPr="3050D374">
              <w:rPr>
                <w:sz w:val="22"/>
                <w:szCs w:val="22"/>
              </w:rPr>
              <w:t>6</w:t>
            </w:r>
            <w:r w:rsidR="5EAF5166" w:rsidRPr="3050D374">
              <w:rPr>
                <w:sz w:val="22"/>
                <w:szCs w:val="22"/>
              </w:rPr>
              <w:t>6,</w:t>
            </w:r>
            <w:r w:rsidR="4630D1CE" w:rsidRPr="3050D374">
              <w:rPr>
                <w:sz w:val="22"/>
                <w:szCs w:val="22"/>
              </w:rPr>
              <w:t>639</w:t>
            </w:r>
            <w:r w:rsidR="59C09A4B" w:rsidRPr="3050D374">
              <w:rPr>
                <w:sz w:val="22"/>
                <w:szCs w:val="22"/>
              </w:rPr>
              <w:t xml:space="preserve"> </w:t>
            </w:r>
          </w:p>
        </w:tc>
        <w:tc>
          <w:tcPr>
            <w:tcW w:w="1276" w:type="dxa"/>
            <w:tcBorders>
              <w:bottom w:val="single" w:sz="4" w:space="0" w:color="auto"/>
            </w:tcBorders>
            <w:noWrap/>
          </w:tcPr>
          <w:p w14:paraId="4C6CF802" w14:textId="4210E94C" w:rsidR="003F75D9" w:rsidRPr="00572DC5" w:rsidRDefault="0E3E6A9E" w:rsidP="3050D374">
            <w:pPr>
              <w:spacing w:line="259" w:lineRule="auto"/>
              <w:jc w:val="right"/>
            </w:pPr>
            <w:r w:rsidRPr="3050D374">
              <w:rPr>
                <w:sz w:val="22"/>
                <w:szCs w:val="22"/>
              </w:rPr>
              <w:t>73,766</w:t>
            </w:r>
          </w:p>
        </w:tc>
        <w:tc>
          <w:tcPr>
            <w:tcW w:w="1276" w:type="dxa"/>
            <w:tcBorders>
              <w:bottom w:val="single" w:sz="4" w:space="0" w:color="auto"/>
            </w:tcBorders>
          </w:tcPr>
          <w:p w14:paraId="2960BD1C" w14:textId="137A8B3A" w:rsidR="003F75D9" w:rsidRPr="00572DC5" w:rsidRDefault="0E3E6A9E" w:rsidP="3050D374">
            <w:pPr>
              <w:spacing w:line="259" w:lineRule="auto"/>
              <w:jc w:val="right"/>
            </w:pPr>
            <w:r w:rsidRPr="3050D374">
              <w:rPr>
                <w:sz w:val="22"/>
                <w:szCs w:val="22"/>
              </w:rPr>
              <w:t>76,729</w:t>
            </w:r>
          </w:p>
        </w:tc>
        <w:tc>
          <w:tcPr>
            <w:tcW w:w="1276" w:type="dxa"/>
            <w:tcBorders>
              <w:bottom w:val="single" w:sz="4" w:space="0" w:color="auto"/>
            </w:tcBorders>
          </w:tcPr>
          <w:p w14:paraId="0FE97876" w14:textId="700708A7" w:rsidR="003F75D9" w:rsidRPr="00572DC5" w:rsidRDefault="0E3E6A9E" w:rsidP="3050D374">
            <w:pPr>
              <w:spacing w:line="259" w:lineRule="auto"/>
              <w:jc w:val="right"/>
            </w:pPr>
            <w:r w:rsidRPr="3050D374">
              <w:rPr>
                <w:sz w:val="22"/>
                <w:szCs w:val="22"/>
              </w:rPr>
              <w:t>80,098</w:t>
            </w:r>
          </w:p>
        </w:tc>
        <w:tc>
          <w:tcPr>
            <w:tcW w:w="1276" w:type="dxa"/>
            <w:tcBorders>
              <w:bottom w:val="single" w:sz="4" w:space="0" w:color="auto"/>
            </w:tcBorders>
          </w:tcPr>
          <w:p w14:paraId="0699EFC1" w14:textId="66A85FAE" w:rsidR="381A1FF6" w:rsidRPr="381A1FF6" w:rsidRDefault="0E3E6A9E" w:rsidP="3050D374">
            <w:pPr>
              <w:spacing w:line="259" w:lineRule="auto"/>
              <w:jc w:val="right"/>
            </w:pPr>
            <w:r w:rsidRPr="3050D374">
              <w:rPr>
                <w:sz w:val="22"/>
                <w:szCs w:val="22"/>
              </w:rPr>
              <w:t>83,665</w:t>
            </w:r>
          </w:p>
        </w:tc>
      </w:tr>
      <w:tr w:rsidR="00D13AC3" w:rsidRPr="00572DC5" w14:paraId="1DC0DB7C" w14:textId="3E84C8DB" w:rsidTr="381A1FF6">
        <w:trPr>
          <w:trHeight w:val="300"/>
        </w:trPr>
        <w:tc>
          <w:tcPr>
            <w:tcW w:w="2737" w:type="dxa"/>
            <w:tcBorders>
              <w:top w:val="single" w:sz="4" w:space="0" w:color="auto"/>
              <w:bottom w:val="nil"/>
            </w:tcBorders>
            <w:noWrap/>
            <w:vAlign w:val="bottom"/>
          </w:tcPr>
          <w:p w14:paraId="620B51A0" w14:textId="77777777" w:rsidR="00D13AC3" w:rsidRPr="00572DC5" w:rsidRDefault="00D13AC3" w:rsidP="00D13AC3">
            <w:pPr>
              <w:rPr>
                <w:rFonts w:cs="Arial"/>
                <w:b/>
                <w:color w:val="000000"/>
                <w:sz w:val="22"/>
                <w:szCs w:val="22"/>
                <w:lang w:eastAsia="en-GB"/>
              </w:rPr>
            </w:pPr>
            <w:r w:rsidRPr="381A1FF6">
              <w:rPr>
                <w:rFonts w:cs="Arial"/>
                <w:b/>
                <w:color w:val="000000" w:themeColor="text1"/>
                <w:sz w:val="22"/>
                <w:szCs w:val="22"/>
                <w:lang w:eastAsia="en-GB"/>
              </w:rPr>
              <w:t>Net Operating Expenditure/(income)</w:t>
            </w:r>
          </w:p>
        </w:tc>
        <w:tc>
          <w:tcPr>
            <w:tcW w:w="1276" w:type="dxa"/>
            <w:tcBorders>
              <w:top w:val="single" w:sz="4" w:space="0" w:color="auto"/>
              <w:bottom w:val="nil"/>
            </w:tcBorders>
            <w:noWrap/>
            <w:vAlign w:val="center"/>
          </w:tcPr>
          <w:p w14:paraId="172B926F" w14:textId="256D3525" w:rsidR="00D13AC3" w:rsidRPr="00572DC5" w:rsidRDefault="00D13AC3" w:rsidP="00D13AC3">
            <w:pPr>
              <w:jc w:val="right"/>
              <w:rPr>
                <w:b/>
                <w:sz w:val="22"/>
                <w:szCs w:val="22"/>
                <w:lang w:eastAsia="en-GB"/>
              </w:rPr>
            </w:pPr>
            <w:r w:rsidRPr="3050D374">
              <w:rPr>
                <w:b/>
                <w:sz w:val="22"/>
                <w:szCs w:val="22"/>
              </w:rPr>
              <w:t>(</w:t>
            </w:r>
            <w:r w:rsidR="0825A709" w:rsidRPr="3050D374">
              <w:rPr>
                <w:b/>
                <w:bCs/>
                <w:sz w:val="22"/>
                <w:szCs w:val="22"/>
              </w:rPr>
              <w:t>1,</w:t>
            </w:r>
            <w:r w:rsidR="39A42A1F" w:rsidRPr="3050D374">
              <w:rPr>
                <w:b/>
                <w:bCs/>
                <w:sz w:val="22"/>
                <w:szCs w:val="22"/>
              </w:rPr>
              <w:t>568</w:t>
            </w:r>
            <w:r w:rsidRPr="3050D374">
              <w:rPr>
                <w:b/>
                <w:sz w:val="22"/>
                <w:szCs w:val="22"/>
              </w:rPr>
              <w:t>)</w:t>
            </w:r>
          </w:p>
        </w:tc>
        <w:tc>
          <w:tcPr>
            <w:tcW w:w="1276" w:type="dxa"/>
            <w:tcBorders>
              <w:top w:val="single" w:sz="4" w:space="0" w:color="auto"/>
              <w:bottom w:val="nil"/>
            </w:tcBorders>
            <w:noWrap/>
            <w:vAlign w:val="center"/>
          </w:tcPr>
          <w:p w14:paraId="7D9D7C92" w14:textId="1A506C9F" w:rsidR="00D13AC3" w:rsidRPr="00572DC5" w:rsidRDefault="00D13AC3" w:rsidP="00D13AC3">
            <w:pPr>
              <w:jc w:val="right"/>
              <w:rPr>
                <w:b/>
                <w:sz w:val="22"/>
                <w:szCs w:val="22"/>
                <w:lang w:eastAsia="en-GB"/>
              </w:rPr>
            </w:pPr>
            <w:r w:rsidRPr="3050D374">
              <w:rPr>
                <w:b/>
                <w:sz w:val="22"/>
                <w:szCs w:val="22"/>
              </w:rPr>
              <w:t>(</w:t>
            </w:r>
            <w:r w:rsidR="4929887C" w:rsidRPr="3050D374">
              <w:rPr>
                <w:b/>
                <w:bCs/>
                <w:sz w:val="22"/>
                <w:szCs w:val="22"/>
              </w:rPr>
              <w:t>1,</w:t>
            </w:r>
            <w:r w:rsidR="72F2720B" w:rsidRPr="3050D374">
              <w:rPr>
                <w:b/>
                <w:bCs/>
                <w:sz w:val="22"/>
                <w:szCs w:val="22"/>
              </w:rPr>
              <w:t>191</w:t>
            </w:r>
            <w:r w:rsidRPr="3050D374">
              <w:rPr>
                <w:b/>
                <w:sz w:val="22"/>
                <w:szCs w:val="22"/>
              </w:rPr>
              <w:t>)</w:t>
            </w:r>
          </w:p>
        </w:tc>
        <w:tc>
          <w:tcPr>
            <w:tcW w:w="1276" w:type="dxa"/>
            <w:tcBorders>
              <w:top w:val="single" w:sz="4" w:space="0" w:color="auto"/>
              <w:bottom w:val="nil"/>
            </w:tcBorders>
            <w:vAlign w:val="center"/>
          </w:tcPr>
          <w:p w14:paraId="77BB7396" w14:textId="2B2F28B4" w:rsidR="00D13AC3" w:rsidRPr="00572DC5" w:rsidRDefault="00D13AC3" w:rsidP="00D13AC3">
            <w:pPr>
              <w:jc w:val="right"/>
              <w:rPr>
                <w:b/>
                <w:sz w:val="22"/>
                <w:szCs w:val="22"/>
                <w:lang w:eastAsia="en-GB"/>
              </w:rPr>
            </w:pPr>
            <w:r w:rsidRPr="3050D374">
              <w:rPr>
                <w:b/>
                <w:sz w:val="22"/>
                <w:szCs w:val="22"/>
              </w:rPr>
              <w:t>(</w:t>
            </w:r>
            <w:r w:rsidR="42CA1412" w:rsidRPr="3050D374">
              <w:rPr>
                <w:b/>
                <w:bCs/>
                <w:sz w:val="22"/>
                <w:szCs w:val="22"/>
              </w:rPr>
              <w:t>2,</w:t>
            </w:r>
            <w:r w:rsidR="7237DC73" w:rsidRPr="3050D374">
              <w:rPr>
                <w:b/>
                <w:bCs/>
                <w:sz w:val="22"/>
                <w:szCs w:val="22"/>
              </w:rPr>
              <w:t>037</w:t>
            </w:r>
            <w:r w:rsidRPr="3050D374">
              <w:rPr>
                <w:b/>
                <w:sz w:val="22"/>
                <w:szCs w:val="22"/>
              </w:rPr>
              <w:t>)</w:t>
            </w:r>
          </w:p>
        </w:tc>
        <w:tc>
          <w:tcPr>
            <w:tcW w:w="1276" w:type="dxa"/>
            <w:tcBorders>
              <w:top w:val="single" w:sz="4" w:space="0" w:color="auto"/>
              <w:bottom w:val="nil"/>
            </w:tcBorders>
            <w:vAlign w:val="center"/>
          </w:tcPr>
          <w:p w14:paraId="7A7C0301" w14:textId="5D77599B" w:rsidR="00D13AC3" w:rsidRPr="00572DC5" w:rsidRDefault="00D13AC3" w:rsidP="00D13AC3">
            <w:pPr>
              <w:jc w:val="right"/>
              <w:rPr>
                <w:b/>
                <w:sz w:val="22"/>
                <w:szCs w:val="22"/>
                <w:lang w:eastAsia="en-GB"/>
              </w:rPr>
            </w:pPr>
            <w:r w:rsidRPr="3050D374">
              <w:rPr>
                <w:b/>
                <w:sz w:val="22"/>
                <w:szCs w:val="22"/>
              </w:rPr>
              <w:t>(</w:t>
            </w:r>
            <w:r w:rsidR="6B8E0063" w:rsidRPr="3050D374">
              <w:rPr>
                <w:b/>
                <w:bCs/>
                <w:sz w:val="22"/>
                <w:szCs w:val="22"/>
              </w:rPr>
              <w:t>4,</w:t>
            </w:r>
            <w:r w:rsidR="2BD8BC90" w:rsidRPr="3050D374">
              <w:rPr>
                <w:b/>
                <w:bCs/>
                <w:sz w:val="22"/>
                <w:szCs w:val="22"/>
              </w:rPr>
              <w:t>293</w:t>
            </w:r>
            <w:r w:rsidRPr="3050D374">
              <w:rPr>
                <w:b/>
                <w:sz w:val="22"/>
                <w:szCs w:val="22"/>
              </w:rPr>
              <w:t>)</w:t>
            </w:r>
          </w:p>
        </w:tc>
        <w:tc>
          <w:tcPr>
            <w:tcW w:w="1276" w:type="dxa"/>
            <w:tcBorders>
              <w:top w:val="single" w:sz="4" w:space="0" w:color="auto"/>
              <w:bottom w:val="nil"/>
            </w:tcBorders>
            <w:vAlign w:val="center"/>
          </w:tcPr>
          <w:p w14:paraId="4AF5798C" w14:textId="5BDCD01C" w:rsidR="381A1FF6" w:rsidRPr="381A1FF6" w:rsidRDefault="381A1FF6" w:rsidP="381A1FF6">
            <w:pPr>
              <w:jc w:val="right"/>
              <w:rPr>
                <w:b/>
                <w:sz w:val="22"/>
                <w:szCs w:val="22"/>
              </w:rPr>
            </w:pPr>
            <w:r w:rsidRPr="3050D374">
              <w:rPr>
                <w:b/>
                <w:sz w:val="22"/>
                <w:szCs w:val="22"/>
              </w:rPr>
              <w:t>(</w:t>
            </w:r>
            <w:r w:rsidR="4791592E" w:rsidRPr="3050D374">
              <w:rPr>
                <w:b/>
                <w:bCs/>
                <w:sz w:val="22"/>
                <w:szCs w:val="22"/>
              </w:rPr>
              <w:t>5,</w:t>
            </w:r>
            <w:r w:rsidR="177EE05D" w:rsidRPr="3050D374">
              <w:rPr>
                <w:b/>
                <w:bCs/>
                <w:sz w:val="22"/>
                <w:szCs w:val="22"/>
              </w:rPr>
              <w:t>352</w:t>
            </w:r>
            <w:r w:rsidRPr="3050D374">
              <w:rPr>
                <w:b/>
                <w:sz w:val="22"/>
                <w:szCs w:val="22"/>
              </w:rPr>
              <w:t>)</w:t>
            </w:r>
          </w:p>
        </w:tc>
      </w:tr>
      <w:tr w:rsidR="005559A7" w:rsidRPr="00572DC5" w14:paraId="1C393482" w14:textId="1252CCEE" w:rsidTr="381A1FF6">
        <w:trPr>
          <w:trHeight w:val="300"/>
        </w:trPr>
        <w:tc>
          <w:tcPr>
            <w:tcW w:w="2737" w:type="dxa"/>
            <w:noWrap/>
            <w:vAlign w:val="bottom"/>
          </w:tcPr>
          <w:p w14:paraId="0AB0F400" w14:textId="77777777" w:rsidR="005559A7" w:rsidRPr="00572DC5" w:rsidRDefault="005559A7" w:rsidP="005559A7">
            <w:pPr>
              <w:rPr>
                <w:rFonts w:cs="Arial"/>
                <w:color w:val="000000"/>
                <w:sz w:val="22"/>
                <w:szCs w:val="22"/>
                <w:lang w:eastAsia="en-GB"/>
              </w:rPr>
            </w:pPr>
            <w:r w:rsidRPr="381A1FF6">
              <w:rPr>
                <w:rFonts w:cs="Arial"/>
                <w:color w:val="000000" w:themeColor="text1"/>
                <w:sz w:val="22"/>
                <w:szCs w:val="22"/>
                <w:lang w:eastAsia="en-GB"/>
              </w:rPr>
              <w:t>Investment income</w:t>
            </w:r>
          </w:p>
        </w:tc>
        <w:tc>
          <w:tcPr>
            <w:tcW w:w="1276" w:type="dxa"/>
            <w:noWrap/>
          </w:tcPr>
          <w:p w14:paraId="04BB2E46" w14:textId="5163F56D" w:rsidR="005559A7" w:rsidRPr="00572DC5" w:rsidRDefault="005559A7" w:rsidP="005559A7">
            <w:pPr>
              <w:jc w:val="right"/>
              <w:rPr>
                <w:sz w:val="22"/>
                <w:szCs w:val="22"/>
                <w:lang w:eastAsia="en-GB"/>
              </w:rPr>
            </w:pPr>
            <w:r w:rsidRPr="3050D374">
              <w:rPr>
                <w:sz w:val="22"/>
                <w:szCs w:val="22"/>
              </w:rPr>
              <w:t>(</w:t>
            </w:r>
            <w:r w:rsidR="62AA09CD" w:rsidRPr="3050D374">
              <w:rPr>
                <w:sz w:val="22"/>
                <w:szCs w:val="22"/>
              </w:rPr>
              <w:t>4</w:t>
            </w:r>
            <w:r w:rsidR="125A7809" w:rsidRPr="3050D374">
              <w:rPr>
                <w:sz w:val="22"/>
                <w:szCs w:val="22"/>
              </w:rPr>
              <w:t>3</w:t>
            </w:r>
            <w:r w:rsidRPr="3050D374">
              <w:rPr>
                <w:sz w:val="22"/>
                <w:szCs w:val="22"/>
              </w:rPr>
              <w:t>)</w:t>
            </w:r>
          </w:p>
        </w:tc>
        <w:tc>
          <w:tcPr>
            <w:tcW w:w="1276" w:type="dxa"/>
            <w:noWrap/>
          </w:tcPr>
          <w:p w14:paraId="1BEADD51" w14:textId="314AB3D2" w:rsidR="005559A7" w:rsidRPr="00572DC5" w:rsidRDefault="005559A7" w:rsidP="005559A7">
            <w:pPr>
              <w:jc w:val="right"/>
              <w:rPr>
                <w:sz w:val="22"/>
                <w:szCs w:val="22"/>
                <w:lang w:eastAsia="en-GB"/>
              </w:rPr>
            </w:pPr>
            <w:r w:rsidRPr="3050D374">
              <w:rPr>
                <w:sz w:val="22"/>
                <w:szCs w:val="22"/>
              </w:rPr>
              <w:t>(</w:t>
            </w:r>
            <w:r w:rsidR="3ADD498D" w:rsidRPr="3050D374">
              <w:rPr>
                <w:sz w:val="22"/>
                <w:szCs w:val="22"/>
              </w:rPr>
              <w:t>32</w:t>
            </w:r>
            <w:r w:rsidRPr="3050D374">
              <w:rPr>
                <w:sz w:val="22"/>
                <w:szCs w:val="22"/>
              </w:rPr>
              <w:t>)</w:t>
            </w:r>
          </w:p>
        </w:tc>
        <w:tc>
          <w:tcPr>
            <w:tcW w:w="1276" w:type="dxa"/>
          </w:tcPr>
          <w:p w14:paraId="52016ADA" w14:textId="1EA2C505" w:rsidR="005559A7" w:rsidRPr="00572DC5" w:rsidRDefault="005559A7" w:rsidP="005559A7">
            <w:pPr>
              <w:jc w:val="right"/>
              <w:rPr>
                <w:sz w:val="22"/>
                <w:szCs w:val="22"/>
                <w:lang w:eastAsia="en-GB"/>
              </w:rPr>
            </w:pPr>
            <w:r w:rsidRPr="3050D374">
              <w:rPr>
                <w:sz w:val="22"/>
                <w:szCs w:val="22"/>
              </w:rPr>
              <w:t>(</w:t>
            </w:r>
            <w:r w:rsidR="13236D84" w:rsidRPr="3050D374">
              <w:rPr>
                <w:sz w:val="22"/>
                <w:szCs w:val="22"/>
              </w:rPr>
              <w:t>41</w:t>
            </w:r>
            <w:r w:rsidRPr="3050D374">
              <w:rPr>
                <w:sz w:val="22"/>
                <w:szCs w:val="22"/>
              </w:rPr>
              <w:t>)</w:t>
            </w:r>
          </w:p>
        </w:tc>
        <w:tc>
          <w:tcPr>
            <w:tcW w:w="1276" w:type="dxa"/>
          </w:tcPr>
          <w:p w14:paraId="77E941FB" w14:textId="79492964" w:rsidR="005559A7" w:rsidRPr="00572DC5" w:rsidRDefault="005559A7" w:rsidP="005559A7">
            <w:pPr>
              <w:jc w:val="right"/>
              <w:rPr>
                <w:sz w:val="22"/>
                <w:szCs w:val="22"/>
                <w:lang w:eastAsia="en-GB"/>
              </w:rPr>
            </w:pPr>
            <w:r w:rsidRPr="3050D374">
              <w:rPr>
                <w:sz w:val="22"/>
                <w:szCs w:val="22"/>
              </w:rPr>
              <w:t>(</w:t>
            </w:r>
            <w:r w:rsidR="75B6B96A" w:rsidRPr="3050D374">
              <w:rPr>
                <w:sz w:val="22"/>
                <w:szCs w:val="22"/>
              </w:rPr>
              <w:t>58</w:t>
            </w:r>
            <w:r w:rsidR="00D132BE" w:rsidRPr="3050D374">
              <w:rPr>
                <w:sz w:val="22"/>
                <w:szCs w:val="22"/>
              </w:rPr>
              <w:t>)</w:t>
            </w:r>
          </w:p>
        </w:tc>
        <w:tc>
          <w:tcPr>
            <w:tcW w:w="1276" w:type="dxa"/>
          </w:tcPr>
          <w:p w14:paraId="6D095021" w14:textId="75189B0D" w:rsidR="381A1FF6" w:rsidRPr="381A1FF6" w:rsidRDefault="381A1FF6" w:rsidP="381A1FF6">
            <w:pPr>
              <w:jc w:val="right"/>
              <w:rPr>
                <w:sz w:val="22"/>
                <w:szCs w:val="22"/>
              </w:rPr>
            </w:pPr>
            <w:r w:rsidRPr="3050D374">
              <w:rPr>
                <w:sz w:val="22"/>
                <w:szCs w:val="22"/>
              </w:rPr>
              <w:t>(</w:t>
            </w:r>
            <w:r w:rsidR="6BA72185" w:rsidRPr="3050D374">
              <w:rPr>
                <w:sz w:val="22"/>
                <w:szCs w:val="22"/>
              </w:rPr>
              <w:t>84</w:t>
            </w:r>
            <w:r w:rsidRPr="3050D374">
              <w:rPr>
                <w:sz w:val="22"/>
                <w:szCs w:val="22"/>
              </w:rPr>
              <w:t>)</w:t>
            </w:r>
          </w:p>
        </w:tc>
      </w:tr>
      <w:tr w:rsidR="007C01D4" w:rsidRPr="00572DC5" w14:paraId="44831B17" w14:textId="692D3D9C" w:rsidTr="381A1FF6">
        <w:trPr>
          <w:trHeight w:val="300"/>
        </w:trPr>
        <w:tc>
          <w:tcPr>
            <w:tcW w:w="2737" w:type="dxa"/>
            <w:noWrap/>
            <w:vAlign w:val="bottom"/>
          </w:tcPr>
          <w:p w14:paraId="631B2669" w14:textId="77777777" w:rsidR="007C01D4" w:rsidRPr="00572DC5" w:rsidRDefault="007C01D4" w:rsidP="007C01D4">
            <w:pPr>
              <w:rPr>
                <w:rFonts w:cs="Arial"/>
                <w:b/>
                <w:color w:val="000000"/>
                <w:sz w:val="22"/>
                <w:szCs w:val="22"/>
                <w:lang w:eastAsia="en-GB"/>
              </w:rPr>
            </w:pPr>
            <w:r w:rsidRPr="381A1FF6">
              <w:rPr>
                <w:rFonts w:cs="Arial"/>
                <w:b/>
                <w:color w:val="000000" w:themeColor="text1"/>
                <w:sz w:val="22"/>
                <w:szCs w:val="22"/>
                <w:lang w:eastAsia="en-GB"/>
              </w:rPr>
              <w:t>(Surplus)/Deficit for the Year</w:t>
            </w:r>
          </w:p>
        </w:tc>
        <w:tc>
          <w:tcPr>
            <w:tcW w:w="1276" w:type="dxa"/>
            <w:noWrap/>
            <w:vAlign w:val="center"/>
          </w:tcPr>
          <w:p w14:paraId="52BF026D" w14:textId="56584C31" w:rsidR="007C01D4" w:rsidRPr="00572DC5" w:rsidRDefault="39EA273D" w:rsidP="007C01D4">
            <w:pPr>
              <w:jc w:val="right"/>
              <w:rPr>
                <w:b/>
                <w:sz w:val="22"/>
                <w:szCs w:val="22"/>
                <w:lang w:eastAsia="en-GB"/>
              </w:rPr>
            </w:pPr>
            <w:r w:rsidRPr="3050D374">
              <w:rPr>
                <w:b/>
                <w:bCs/>
                <w:sz w:val="22"/>
                <w:szCs w:val="22"/>
              </w:rPr>
              <w:t>(1,6</w:t>
            </w:r>
            <w:r w:rsidR="74C2D5EF" w:rsidRPr="3050D374">
              <w:rPr>
                <w:b/>
                <w:bCs/>
                <w:sz w:val="22"/>
                <w:szCs w:val="22"/>
              </w:rPr>
              <w:t>1</w:t>
            </w:r>
            <w:r w:rsidRPr="3050D374">
              <w:rPr>
                <w:b/>
                <w:bCs/>
                <w:sz w:val="22"/>
                <w:szCs w:val="22"/>
              </w:rPr>
              <w:t>1)</w:t>
            </w:r>
          </w:p>
        </w:tc>
        <w:tc>
          <w:tcPr>
            <w:tcW w:w="1276" w:type="dxa"/>
            <w:noWrap/>
            <w:vAlign w:val="center"/>
          </w:tcPr>
          <w:p w14:paraId="04CCEBEA" w14:textId="70A4FFCF" w:rsidR="007C01D4" w:rsidRPr="00572DC5" w:rsidRDefault="39EA273D" w:rsidP="3050D374">
            <w:pPr>
              <w:spacing w:line="259" w:lineRule="auto"/>
              <w:jc w:val="right"/>
              <w:rPr>
                <w:b/>
                <w:sz w:val="22"/>
                <w:szCs w:val="22"/>
              </w:rPr>
            </w:pPr>
            <w:r w:rsidRPr="3050D374">
              <w:rPr>
                <w:b/>
                <w:bCs/>
                <w:sz w:val="22"/>
                <w:szCs w:val="22"/>
              </w:rPr>
              <w:t>(</w:t>
            </w:r>
            <w:r w:rsidR="00D132BE" w:rsidRPr="3050D374">
              <w:rPr>
                <w:b/>
                <w:sz w:val="22"/>
                <w:szCs w:val="22"/>
              </w:rPr>
              <w:t>1,</w:t>
            </w:r>
            <w:r w:rsidR="0228E490" w:rsidRPr="3050D374">
              <w:rPr>
                <w:b/>
                <w:bCs/>
                <w:sz w:val="22"/>
                <w:szCs w:val="22"/>
              </w:rPr>
              <w:t>223</w:t>
            </w:r>
            <w:r w:rsidRPr="3050D374">
              <w:rPr>
                <w:b/>
                <w:bCs/>
                <w:sz w:val="22"/>
                <w:szCs w:val="22"/>
              </w:rPr>
              <w:t>)</w:t>
            </w:r>
          </w:p>
        </w:tc>
        <w:tc>
          <w:tcPr>
            <w:tcW w:w="1276" w:type="dxa"/>
            <w:vAlign w:val="center"/>
          </w:tcPr>
          <w:p w14:paraId="6C0C64DC" w14:textId="36B6FAA1" w:rsidR="007C01D4" w:rsidRPr="00572DC5" w:rsidRDefault="007C01D4" w:rsidP="3050D374">
            <w:pPr>
              <w:spacing w:line="259" w:lineRule="auto"/>
              <w:jc w:val="right"/>
              <w:rPr>
                <w:b/>
                <w:sz w:val="22"/>
                <w:szCs w:val="22"/>
              </w:rPr>
            </w:pPr>
            <w:r w:rsidRPr="3050D374">
              <w:rPr>
                <w:b/>
                <w:sz w:val="22"/>
                <w:szCs w:val="22"/>
              </w:rPr>
              <w:t>(</w:t>
            </w:r>
            <w:r w:rsidR="39EA273D" w:rsidRPr="3050D374">
              <w:rPr>
                <w:b/>
                <w:bCs/>
                <w:sz w:val="22"/>
                <w:szCs w:val="22"/>
              </w:rPr>
              <w:t>2,</w:t>
            </w:r>
            <w:r w:rsidR="3B48D20D" w:rsidRPr="3050D374">
              <w:rPr>
                <w:b/>
                <w:bCs/>
                <w:sz w:val="22"/>
                <w:szCs w:val="22"/>
              </w:rPr>
              <w:t>078</w:t>
            </w:r>
            <w:r w:rsidRPr="3050D374">
              <w:rPr>
                <w:b/>
                <w:sz w:val="22"/>
                <w:szCs w:val="22"/>
              </w:rPr>
              <w:t>)</w:t>
            </w:r>
          </w:p>
        </w:tc>
        <w:tc>
          <w:tcPr>
            <w:tcW w:w="1276" w:type="dxa"/>
            <w:vAlign w:val="center"/>
          </w:tcPr>
          <w:p w14:paraId="3908D852" w14:textId="1D1030DA" w:rsidR="007C01D4" w:rsidRPr="00572DC5" w:rsidRDefault="39EA273D" w:rsidP="3050D374">
            <w:pPr>
              <w:spacing w:line="259" w:lineRule="auto"/>
              <w:jc w:val="right"/>
              <w:rPr>
                <w:b/>
                <w:sz w:val="22"/>
                <w:szCs w:val="22"/>
              </w:rPr>
            </w:pPr>
            <w:r w:rsidRPr="3050D374">
              <w:rPr>
                <w:b/>
                <w:bCs/>
                <w:sz w:val="22"/>
                <w:szCs w:val="22"/>
              </w:rPr>
              <w:t>(4,</w:t>
            </w:r>
            <w:r w:rsidR="65F12732" w:rsidRPr="3050D374">
              <w:rPr>
                <w:b/>
                <w:bCs/>
                <w:sz w:val="22"/>
                <w:szCs w:val="22"/>
              </w:rPr>
              <w:t>35</w:t>
            </w:r>
            <w:r w:rsidRPr="3050D374">
              <w:rPr>
                <w:b/>
                <w:bCs/>
                <w:sz w:val="22"/>
                <w:szCs w:val="22"/>
              </w:rPr>
              <w:t>0)</w:t>
            </w:r>
          </w:p>
        </w:tc>
        <w:tc>
          <w:tcPr>
            <w:tcW w:w="1276" w:type="dxa"/>
            <w:vAlign w:val="center"/>
          </w:tcPr>
          <w:p w14:paraId="16D1C4F0" w14:textId="6B150A5D" w:rsidR="381A1FF6" w:rsidRPr="381A1FF6" w:rsidRDefault="39EA273D" w:rsidP="3050D374">
            <w:pPr>
              <w:spacing w:line="259" w:lineRule="auto"/>
              <w:jc w:val="right"/>
              <w:rPr>
                <w:b/>
                <w:sz w:val="22"/>
                <w:szCs w:val="22"/>
              </w:rPr>
            </w:pPr>
            <w:r w:rsidRPr="3050D374">
              <w:rPr>
                <w:b/>
                <w:bCs/>
                <w:sz w:val="22"/>
                <w:szCs w:val="22"/>
              </w:rPr>
              <w:t>(5,</w:t>
            </w:r>
            <w:r w:rsidR="6E8C5D75" w:rsidRPr="3050D374">
              <w:rPr>
                <w:b/>
                <w:bCs/>
                <w:sz w:val="22"/>
                <w:szCs w:val="22"/>
              </w:rPr>
              <w:t>43</w:t>
            </w:r>
            <w:r w:rsidRPr="3050D374">
              <w:rPr>
                <w:b/>
                <w:bCs/>
                <w:sz w:val="22"/>
                <w:szCs w:val="22"/>
              </w:rPr>
              <w:t>7)</w:t>
            </w:r>
          </w:p>
        </w:tc>
      </w:tr>
      <w:tr w:rsidR="00495E37" w:rsidRPr="00572DC5" w14:paraId="531A7E42" w14:textId="30A6CD7A" w:rsidTr="381A1FF6">
        <w:trPr>
          <w:trHeight w:val="300"/>
        </w:trPr>
        <w:tc>
          <w:tcPr>
            <w:tcW w:w="2737" w:type="dxa"/>
            <w:noWrap/>
            <w:vAlign w:val="bottom"/>
          </w:tcPr>
          <w:p w14:paraId="74B32C33" w14:textId="77777777" w:rsidR="00495E37" w:rsidRPr="00572DC5" w:rsidRDefault="00495E37" w:rsidP="00495E37">
            <w:pPr>
              <w:rPr>
                <w:rFonts w:cs="Arial"/>
                <w:color w:val="000000"/>
                <w:sz w:val="22"/>
                <w:szCs w:val="22"/>
                <w:lang w:eastAsia="en-GB"/>
              </w:rPr>
            </w:pPr>
          </w:p>
        </w:tc>
        <w:tc>
          <w:tcPr>
            <w:tcW w:w="1276" w:type="dxa"/>
            <w:noWrap/>
            <w:vAlign w:val="center"/>
          </w:tcPr>
          <w:p w14:paraId="39CFD17A" w14:textId="77777777" w:rsidR="00495E37" w:rsidRPr="00572DC5" w:rsidRDefault="00495E37" w:rsidP="003C0EA0">
            <w:pPr>
              <w:jc w:val="right"/>
              <w:rPr>
                <w:sz w:val="22"/>
                <w:szCs w:val="22"/>
                <w:lang w:eastAsia="en-GB"/>
              </w:rPr>
            </w:pPr>
          </w:p>
        </w:tc>
        <w:tc>
          <w:tcPr>
            <w:tcW w:w="1276" w:type="dxa"/>
            <w:noWrap/>
            <w:vAlign w:val="center"/>
          </w:tcPr>
          <w:p w14:paraId="74A4032B" w14:textId="77777777" w:rsidR="00495E37" w:rsidRPr="00572DC5" w:rsidRDefault="00495E37" w:rsidP="003C0EA0">
            <w:pPr>
              <w:jc w:val="right"/>
              <w:rPr>
                <w:sz w:val="22"/>
                <w:szCs w:val="22"/>
                <w:lang w:eastAsia="en-GB"/>
              </w:rPr>
            </w:pPr>
          </w:p>
        </w:tc>
        <w:tc>
          <w:tcPr>
            <w:tcW w:w="1276" w:type="dxa"/>
            <w:vAlign w:val="center"/>
          </w:tcPr>
          <w:p w14:paraId="4E08C0DD" w14:textId="77777777" w:rsidR="00495E37" w:rsidRPr="00572DC5" w:rsidRDefault="00495E37" w:rsidP="003C0EA0">
            <w:pPr>
              <w:jc w:val="right"/>
              <w:rPr>
                <w:sz w:val="22"/>
                <w:szCs w:val="22"/>
                <w:lang w:eastAsia="en-GB"/>
              </w:rPr>
            </w:pPr>
          </w:p>
        </w:tc>
        <w:tc>
          <w:tcPr>
            <w:tcW w:w="1276" w:type="dxa"/>
            <w:vAlign w:val="center"/>
          </w:tcPr>
          <w:p w14:paraId="65F0C7D5" w14:textId="77777777" w:rsidR="00495E37" w:rsidRPr="00572DC5" w:rsidRDefault="00495E37" w:rsidP="003C0EA0">
            <w:pPr>
              <w:jc w:val="right"/>
              <w:rPr>
                <w:sz w:val="22"/>
                <w:szCs w:val="22"/>
                <w:lang w:eastAsia="en-GB"/>
              </w:rPr>
            </w:pPr>
          </w:p>
        </w:tc>
        <w:tc>
          <w:tcPr>
            <w:tcW w:w="1276" w:type="dxa"/>
            <w:vAlign w:val="center"/>
          </w:tcPr>
          <w:p w14:paraId="4BBD7965" w14:textId="77777777" w:rsidR="381A1FF6" w:rsidRDefault="381A1FF6" w:rsidP="381A1FF6">
            <w:pPr>
              <w:jc w:val="right"/>
              <w:rPr>
                <w:sz w:val="22"/>
                <w:szCs w:val="22"/>
                <w:lang w:eastAsia="en-GB"/>
              </w:rPr>
            </w:pPr>
          </w:p>
        </w:tc>
      </w:tr>
      <w:tr w:rsidR="00D42880" w:rsidRPr="00572DC5" w14:paraId="589384E2" w14:textId="58819E4D" w:rsidTr="381A1FF6">
        <w:trPr>
          <w:trHeight w:val="300"/>
        </w:trPr>
        <w:tc>
          <w:tcPr>
            <w:tcW w:w="2737" w:type="dxa"/>
            <w:noWrap/>
            <w:vAlign w:val="bottom"/>
          </w:tcPr>
          <w:p w14:paraId="3A6A8AB6" w14:textId="77777777" w:rsidR="00D42880" w:rsidRPr="00572DC5" w:rsidRDefault="00D42880" w:rsidP="00D42880">
            <w:pPr>
              <w:rPr>
                <w:rFonts w:cs="Arial"/>
                <w:color w:val="000000"/>
                <w:sz w:val="22"/>
                <w:szCs w:val="22"/>
                <w:lang w:eastAsia="en-GB"/>
              </w:rPr>
            </w:pPr>
            <w:r w:rsidRPr="381A1FF6">
              <w:rPr>
                <w:rFonts w:cs="Arial"/>
                <w:color w:val="000000" w:themeColor="text1"/>
                <w:sz w:val="22"/>
                <w:szCs w:val="22"/>
                <w:lang w:eastAsia="en-GB"/>
              </w:rPr>
              <w:t>(Surplus)/Deficit b/fwd</w:t>
            </w:r>
          </w:p>
        </w:tc>
        <w:tc>
          <w:tcPr>
            <w:tcW w:w="1276" w:type="dxa"/>
            <w:noWrap/>
          </w:tcPr>
          <w:p w14:paraId="51ECE956" w14:textId="0215FEA9" w:rsidR="00D42880" w:rsidRPr="00572DC5" w:rsidRDefault="00D42880" w:rsidP="00D42880">
            <w:pPr>
              <w:jc w:val="right"/>
              <w:rPr>
                <w:sz w:val="22"/>
                <w:szCs w:val="22"/>
                <w:lang w:eastAsia="en-GB"/>
              </w:rPr>
            </w:pPr>
            <w:r w:rsidRPr="3050D374">
              <w:rPr>
                <w:sz w:val="22"/>
                <w:szCs w:val="22"/>
              </w:rPr>
              <w:t>(5,</w:t>
            </w:r>
            <w:r w:rsidR="26D3A3C3" w:rsidRPr="3050D374">
              <w:rPr>
                <w:sz w:val="22"/>
                <w:szCs w:val="22"/>
              </w:rPr>
              <w:t>832</w:t>
            </w:r>
            <w:r w:rsidRPr="3050D374">
              <w:rPr>
                <w:sz w:val="22"/>
                <w:szCs w:val="22"/>
              </w:rPr>
              <w:t>)</w:t>
            </w:r>
          </w:p>
        </w:tc>
        <w:tc>
          <w:tcPr>
            <w:tcW w:w="1276" w:type="dxa"/>
            <w:noWrap/>
          </w:tcPr>
          <w:p w14:paraId="08C06947" w14:textId="4A5EA541" w:rsidR="00D42880" w:rsidRPr="00572DC5" w:rsidRDefault="00D42880" w:rsidP="00D42880">
            <w:pPr>
              <w:jc w:val="right"/>
              <w:rPr>
                <w:sz w:val="22"/>
                <w:szCs w:val="22"/>
                <w:lang w:eastAsia="en-GB"/>
              </w:rPr>
            </w:pPr>
            <w:r w:rsidRPr="3050D374">
              <w:rPr>
                <w:sz w:val="22"/>
                <w:szCs w:val="22"/>
              </w:rPr>
              <w:t>(</w:t>
            </w:r>
            <w:r w:rsidR="3E4480FA" w:rsidRPr="3050D374">
              <w:rPr>
                <w:sz w:val="22"/>
                <w:szCs w:val="22"/>
              </w:rPr>
              <w:t>7</w:t>
            </w:r>
            <w:r w:rsidR="48BC4185" w:rsidRPr="3050D374">
              <w:rPr>
                <w:sz w:val="22"/>
                <w:szCs w:val="22"/>
              </w:rPr>
              <w:t>,</w:t>
            </w:r>
            <w:r w:rsidR="3ED72A8F" w:rsidRPr="3050D374">
              <w:rPr>
                <w:sz w:val="22"/>
                <w:szCs w:val="22"/>
              </w:rPr>
              <w:t>44</w:t>
            </w:r>
            <w:r w:rsidR="48BC4185" w:rsidRPr="3050D374">
              <w:rPr>
                <w:sz w:val="22"/>
                <w:szCs w:val="22"/>
              </w:rPr>
              <w:t>3</w:t>
            </w:r>
            <w:r w:rsidRPr="3050D374">
              <w:rPr>
                <w:sz w:val="22"/>
                <w:szCs w:val="22"/>
              </w:rPr>
              <w:t>)</w:t>
            </w:r>
          </w:p>
        </w:tc>
        <w:tc>
          <w:tcPr>
            <w:tcW w:w="1276" w:type="dxa"/>
          </w:tcPr>
          <w:p w14:paraId="08C89501" w14:textId="6F100365" w:rsidR="00D42880" w:rsidRPr="00572DC5" w:rsidRDefault="00D42880" w:rsidP="00D42880">
            <w:pPr>
              <w:jc w:val="right"/>
              <w:rPr>
                <w:sz w:val="22"/>
                <w:szCs w:val="22"/>
                <w:lang w:eastAsia="en-GB"/>
              </w:rPr>
            </w:pPr>
            <w:r w:rsidRPr="3050D374">
              <w:rPr>
                <w:sz w:val="22"/>
                <w:szCs w:val="22"/>
              </w:rPr>
              <w:t>(</w:t>
            </w:r>
            <w:r w:rsidR="78156F7F" w:rsidRPr="3050D374">
              <w:rPr>
                <w:sz w:val="22"/>
                <w:szCs w:val="22"/>
              </w:rPr>
              <w:t>8</w:t>
            </w:r>
            <w:r w:rsidR="3F22DF7C" w:rsidRPr="3050D374">
              <w:rPr>
                <w:sz w:val="22"/>
                <w:szCs w:val="22"/>
              </w:rPr>
              <w:t>,</w:t>
            </w:r>
            <w:r w:rsidR="444C1600" w:rsidRPr="3050D374">
              <w:rPr>
                <w:sz w:val="22"/>
                <w:szCs w:val="22"/>
              </w:rPr>
              <w:t>666</w:t>
            </w:r>
            <w:r w:rsidRPr="3050D374">
              <w:rPr>
                <w:sz w:val="22"/>
                <w:szCs w:val="22"/>
              </w:rPr>
              <w:t>)</w:t>
            </w:r>
          </w:p>
        </w:tc>
        <w:tc>
          <w:tcPr>
            <w:tcW w:w="1276" w:type="dxa"/>
          </w:tcPr>
          <w:p w14:paraId="53E10165" w14:textId="0FD595B9" w:rsidR="00D42880" w:rsidRPr="00572DC5" w:rsidRDefault="5CC27CA1" w:rsidP="00D42880">
            <w:pPr>
              <w:jc w:val="right"/>
              <w:rPr>
                <w:sz w:val="22"/>
                <w:szCs w:val="22"/>
                <w:lang w:eastAsia="en-GB"/>
              </w:rPr>
            </w:pPr>
            <w:r w:rsidRPr="3050D374">
              <w:rPr>
                <w:sz w:val="22"/>
                <w:szCs w:val="22"/>
              </w:rPr>
              <w:t>(</w:t>
            </w:r>
            <w:r w:rsidR="58480FD1" w:rsidRPr="3050D374">
              <w:rPr>
                <w:sz w:val="22"/>
                <w:szCs w:val="22"/>
              </w:rPr>
              <w:t>1</w:t>
            </w:r>
            <w:r w:rsidR="67AEC7D0" w:rsidRPr="3050D374">
              <w:rPr>
                <w:sz w:val="22"/>
                <w:szCs w:val="22"/>
              </w:rPr>
              <w:t>0</w:t>
            </w:r>
            <w:r w:rsidR="58480FD1" w:rsidRPr="3050D374">
              <w:rPr>
                <w:sz w:val="22"/>
                <w:szCs w:val="22"/>
              </w:rPr>
              <w:t>,</w:t>
            </w:r>
            <w:r w:rsidR="3A6CB83C" w:rsidRPr="3050D374">
              <w:rPr>
                <w:sz w:val="22"/>
                <w:szCs w:val="22"/>
              </w:rPr>
              <w:t>744</w:t>
            </w:r>
            <w:r w:rsidRPr="3050D374">
              <w:rPr>
                <w:sz w:val="22"/>
                <w:szCs w:val="22"/>
              </w:rPr>
              <w:t>)</w:t>
            </w:r>
          </w:p>
        </w:tc>
        <w:tc>
          <w:tcPr>
            <w:tcW w:w="1276" w:type="dxa"/>
          </w:tcPr>
          <w:p w14:paraId="79F6AA7F" w14:textId="27A78BBC" w:rsidR="381A1FF6" w:rsidRPr="381A1FF6" w:rsidRDefault="295E23B3" w:rsidP="381A1FF6">
            <w:pPr>
              <w:jc w:val="right"/>
              <w:rPr>
                <w:sz w:val="22"/>
                <w:szCs w:val="22"/>
              </w:rPr>
            </w:pPr>
            <w:r w:rsidRPr="3050D374">
              <w:rPr>
                <w:sz w:val="22"/>
                <w:szCs w:val="22"/>
              </w:rPr>
              <w:t>(</w:t>
            </w:r>
            <w:r w:rsidR="12FDCE0D" w:rsidRPr="3050D374">
              <w:rPr>
                <w:sz w:val="22"/>
                <w:szCs w:val="22"/>
              </w:rPr>
              <w:t>15</w:t>
            </w:r>
            <w:r w:rsidR="55E76E92" w:rsidRPr="3050D374">
              <w:rPr>
                <w:sz w:val="22"/>
                <w:szCs w:val="22"/>
              </w:rPr>
              <w:t>,</w:t>
            </w:r>
            <w:r w:rsidR="70907334" w:rsidRPr="3050D374">
              <w:rPr>
                <w:sz w:val="22"/>
                <w:szCs w:val="22"/>
              </w:rPr>
              <w:t>094</w:t>
            </w:r>
            <w:r w:rsidRPr="3050D374">
              <w:rPr>
                <w:sz w:val="22"/>
                <w:szCs w:val="22"/>
              </w:rPr>
              <w:t>)</w:t>
            </w:r>
          </w:p>
        </w:tc>
      </w:tr>
      <w:tr w:rsidR="00495E37" w:rsidRPr="00572DC5" w14:paraId="10A363A7" w14:textId="6E1A8B59" w:rsidTr="381A1FF6">
        <w:trPr>
          <w:trHeight w:val="300"/>
        </w:trPr>
        <w:tc>
          <w:tcPr>
            <w:tcW w:w="2737" w:type="dxa"/>
            <w:noWrap/>
            <w:vAlign w:val="bottom"/>
          </w:tcPr>
          <w:p w14:paraId="2E5DC5DE" w14:textId="77777777" w:rsidR="00495E37" w:rsidRPr="00572DC5" w:rsidRDefault="00495E37" w:rsidP="00495E37">
            <w:pPr>
              <w:rPr>
                <w:rFonts w:cs="Arial"/>
                <w:color w:val="000000"/>
                <w:sz w:val="22"/>
                <w:szCs w:val="22"/>
                <w:lang w:eastAsia="en-GB"/>
              </w:rPr>
            </w:pPr>
          </w:p>
        </w:tc>
        <w:tc>
          <w:tcPr>
            <w:tcW w:w="1276" w:type="dxa"/>
            <w:noWrap/>
            <w:vAlign w:val="center"/>
          </w:tcPr>
          <w:p w14:paraId="2EFEBB47" w14:textId="77777777" w:rsidR="00495E37" w:rsidRPr="00572DC5" w:rsidRDefault="00495E37" w:rsidP="003C0EA0">
            <w:pPr>
              <w:jc w:val="right"/>
              <w:rPr>
                <w:sz w:val="22"/>
                <w:szCs w:val="22"/>
                <w:lang w:eastAsia="en-GB"/>
              </w:rPr>
            </w:pPr>
          </w:p>
          <w:p w14:paraId="7D634C7C" w14:textId="77777777" w:rsidR="00495E37" w:rsidRPr="00572DC5" w:rsidRDefault="00495E37" w:rsidP="003C0EA0">
            <w:pPr>
              <w:jc w:val="right"/>
              <w:rPr>
                <w:sz w:val="22"/>
                <w:szCs w:val="22"/>
                <w:lang w:eastAsia="en-GB"/>
              </w:rPr>
            </w:pPr>
          </w:p>
        </w:tc>
        <w:tc>
          <w:tcPr>
            <w:tcW w:w="1276" w:type="dxa"/>
            <w:noWrap/>
            <w:vAlign w:val="center"/>
          </w:tcPr>
          <w:p w14:paraId="657A2C01" w14:textId="77777777" w:rsidR="00495E37" w:rsidRPr="00572DC5" w:rsidRDefault="00495E37" w:rsidP="003C0EA0">
            <w:pPr>
              <w:jc w:val="right"/>
              <w:rPr>
                <w:sz w:val="22"/>
                <w:szCs w:val="22"/>
                <w:lang w:eastAsia="en-GB"/>
              </w:rPr>
            </w:pPr>
          </w:p>
          <w:p w14:paraId="1AF6FF0D" w14:textId="77777777" w:rsidR="00495E37" w:rsidRPr="00572DC5" w:rsidRDefault="00495E37" w:rsidP="003C0EA0">
            <w:pPr>
              <w:jc w:val="right"/>
              <w:rPr>
                <w:sz w:val="22"/>
                <w:szCs w:val="22"/>
                <w:lang w:eastAsia="en-GB"/>
              </w:rPr>
            </w:pPr>
          </w:p>
        </w:tc>
        <w:tc>
          <w:tcPr>
            <w:tcW w:w="1276" w:type="dxa"/>
            <w:vAlign w:val="center"/>
          </w:tcPr>
          <w:p w14:paraId="025A21F4" w14:textId="77777777" w:rsidR="00495E37" w:rsidRPr="00572DC5" w:rsidRDefault="00495E37" w:rsidP="003C0EA0">
            <w:pPr>
              <w:jc w:val="right"/>
              <w:rPr>
                <w:sz w:val="22"/>
                <w:szCs w:val="22"/>
                <w:lang w:eastAsia="en-GB"/>
              </w:rPr>
            </w:pPr>
          </w:p>
        </w:tc>
        <w:tc>
          <w:tcPr>
            <w:tcW w:w="1276" w:type="dxa"/>
            <w:vAlign w:val="center"/>
          </w:tcPr>
          <w:p w14:paraId="7EE5ECF3" w14:textId="77777777" w:rsidR="00495E37" w:rsidRPr="00572DC5" w:rsidRDefault="00495E37" w:rsidP="003C0EA0">
            <w:pPr>
              <w:jc w:val="right"/>
              <w:rPr>
                <w:sz w:val="22"/>
                <w:szCs w:val="22"/>
                <w:lang w:eastAsia="en-GB"/>
              </w:rPr>
            </w:pPr>
          </w:p>
        </w:tc>
        <w:tc>
          <w:tcPr>
            <w:tcW w:w="1276" w:type="dxa"/>
            <w:vAlign w:val="center"/>
          </w:tcPr>
          <w:p w14:paraId="73CDE093" w14:textId="77777777" w:rsidR="381A1FF6" w:rsidRDefault="381A1FF6" w:rsidP="381A1FF6">
            <w:pPr>
              <w:jc w:val="right"/>
              <w:rPr>
                <w:sz w:val="22"/>
                <w:szCs w:val="22"/>
                <w:lang w:eastAsia="en-GB"/>
              </w:rPr>
            </w:pPr>
          </w:p>
        </w:tc>
      </w:tr>
      <w:tr w:rsidR="00495E37" w:rsidRPr="00572DC5" w14:paraId="5A5A94C0" w14:textId="303BE5B6" w:rsidTr="381A1FF6">
        <w:trPr>
          <w:trHeight w:val="300"/>
        </w:trPr>
        <w:tc>
          <w:tcPr>
            <w:tcW w:w="2737" w:type="dxa"/>
            <w:noWrap/>
            <w:vAlign w:val="bottom"/>
          </w:tcPr>
          <w:p w14:paraId="6732AD8C" w14:textId="77777777" w:rsidR="00495E37" w:rsidRPr="00572DC5" w:rsidRDefault="00495E37" w:rsidP="00495E37">
            <w:pPr>
              <w:rPr>
                <w:rFonts w:cs="Arial"/>
                <w:b/>
                <w:color w:val="000000"/>
                <w:sz w:val="22"/>
                <w:szCs w:val="22"/>
                <w:lang w:eastAsia="en-GB"/>
              </w:rPr>
            </w:pPr>
            <w:r w:rsidRPr="381A1FF6">
              <w:rPr>
                <w:rFonts w:cs="Arial"/>
                <w:b/>
                <w:color w:val="000000" w:themeColor="text1"/>
                <w:sz w:val="22"/>
                <w:szCs w:val="22"/>
                <w:lang w:eastAsia="en-GB"/>
              </w:rPr>
              <w:t>(Surplus)/Deficit c/fwd</w:t>
            </w:r>
          </w:p>
        </w:tc>
        <w:tc>
          <w:tcPr>
            <w:tcW w:w="1276" w:type="dxa"/>
            <w:noWrap/>
            <w:vAlign w:val="center"/>
          </w:tcPr>
          <w:p w14:paraId="13BF8F98" w14:textId="324FB1AB" w:rsidR="00495E37" w:rsidRPr="00572DC5" w:rsidRDefault="004135FB" w:rsidP="003C0EA0">
            <w:pPr>
              <w:jc w:val="right"/>
              <w:rPr>
                <w:b/>
                <w:sz w:val="22"/>
                <w:szCs w:val="22"/>
                <w:lang w:eastAsia="en-GB"/>
              </w:rPr>
            </w:pPr>
            <w:r w:rsidRPr="3050D374">
              <w:rPr>
                <w:b/>
                <w:sz w:val="22"/>
                <w:szCs w:val="22"/>
                <w:lang w:eastAsia="en-GB"/>
              </w:rPr>
              <w:t>(</w:t>
            </w:r>
            <w:r w:rsidR="3D41DB84" w:rsidRPr="3050D374">
              <w:rPr>
                <w:b/>
                <w:bCs/>
                <w:sz w:val="22"/>
                <w:szCs w:val="22"/>
                <w:lang w:eastAsia="en-GB"/>
              </w:rPr>
              <w:t>7</w:t>
            </w:r>
            <w:r w:rsidR="0495EA77" w:rsidRPr="3050D374">
              <w:rPr>
                <w:b/>
                <w:bCs/>
                <w:sz w:val="22"/>
                <w:szCs w:val="22"/>
                <w:lang w:eastAsia="en-GB"/>
              </w:rPr>
              <w:t>,</w:t>
            </w:r>
            <w:r w:rsidR="1186A110" w:rsidRPr="3050D374">
              <w:rPr>
                <w:b/>
                <w:bCs/>
                <w:sz w:val="22"/>
                <w:szCs w:val="22"/>
                <w:lang w:eastAsia="en-GB"/>
              </w:rPr>
              <w:t>44</w:t>
            </w:r>
            <w:r w:rsidR="0495EA77" w:rsidRPr="3050D374">
              <w:rPr>
                <w:b/>
                <w:bCs/>
                <w:sz w:val="22"/>
                <w:szCs w:val="22"/>
                <w:lang w:eastAsia="en-GB"/>
              </w:rPr>
              <w:t>3</w:t>
            </w:r>
            <w:r w:rsidR="00F54E4B" w:rsidRPr="3050D374">
              <w:rPr>
                <w:b/>
                <w:sz w:val="22"/>
                <w:szCs w:val="22"/>
                <w:lang w:eastAsia="en-GB"/>
              </w:rPr>
              <w:t>)</w:t>
            </w:r>
          </w:p>
        </w:tc>
        <w:tc>
          <w:tcPr>
            <w:tcW w:w="1276" w:type="dxa"/>
            <w:noWrap/>
            <w:vAlign w:val="center"/>
          </w:tcPr>
          <w:p w14:paraId="36F46F32" w14:textId="2CEA0DB8" w:rsidR="00495E37" w:rsidRPr="00572DC5" w:rsidRDefault="004A76D0" w:rsidP="003C0EA0">
            <w:pPr>
              <w:jc w:val="right"/>
              <w:rPr>
                <w:b/>
                <w:sz w:val="22"/>
                <w:szCs w:val="22"/>
                <w:lang w:eastAsia="en-GB"/>
              </w:rPr>
            </w:pPr>
            <w:r w:rsidRPr="3050D374">
              <w:rPr>
                <w:b/>
                <w:sz w:val="22"/>
                <w:szCs w:val="22"/>
                <w:lang w:eastAsia="en-GB"/>
              </w:rPr>
              <w:t>(</w:t>
            </w:r>
            <w:r w:rsidR="76A4F91F" w:rsidRPr="3050D374">
              <w:rPr>
                <w:b/>
                <w:bCs/>
                <w:sz w:val="22"/>
                <w:szCs w:val="22"/>
                <w:lang w:eastAsia="en-GB"/>
              </w:rPr>
              <w:t>8</w:t>
            </w:r>
            <w:r w:rsidR="2E691588" w:rsidRPr="3050D374">
              <w:rPr>
                <w:b/>
                <w:bCs/>
                <w:sz w:val="22"/>
                <w:szCs w:val="22"/>
                <w:lang w:eastAsia="en-GB"/>
              </w:rPr>
              <w:t>,</w:t>
            </w:r>
            <w:r w:rsidR="56FA49E1" w:rsidRPr="3050D374">
              <w:rPr>
                <w:b/>
                <w:bCs/>
                <w:sz w:val="22"/>
                <w:szCs w:val="22"/>
                <w:lang w:eastAsia="en-GB"/>
              </w:rPr>
              <w:t>666</w:t>
            </w:r>
            <w:r w:rsidRPr="3050D374">
              <w:rPr>
                <w:b/>
                <w:sz w:val="22"/>
                <w:szCs w:val="22"/>
                <w:lang w:eastAsia="en-GB"/>
              </w:rPr>
              <w:t>)</w:t>
            </w:r>
          </w:p>
        </w:tc>
        <w:tc>
          <w:tcPr>
            <w:tcW w:w="1276" w:type="dxa"/>
            <w:vAlign w:val="center"/>
          </w:tcPr>
          <w:p w14:paraId="656EB4C8" w14:textId="1CB21869" w:rsidR="00495E37" w:rsidRPr="00572DC5" w:rsidRDefault="5EA84F3E" w:rsidP="003C0EA0">
            <w:pPr>
              <w:jc w:val="right"/>
              <w:rPr>
                <w:b/>
                <w:sz w:val="22"/>
                <w:szCs w:val="22"/>
                <w:lang w:eastAsia="en-GB"/>
              </w:rPr>
            </w:pPr>
            <w:r w:rsidRPr="3050D374">
              <w:rPr>
                <w:b/>
                <w:bCs/>
                <w:sz w:val="22"/>
                <w:szCs w:val="22"/>
                <w:lang w:eastAsia="en-GB"/>
              </w:rPr>
              <w:t>(</w:t>
            </w:r>
            <w:r w:rsidR="6B04E7D8" w:rsidRPr="3050D374">
              <w:rPr>
                <w:b/>
                <w:bCs/>
                <w:sz w:val="22"/>
                <w:szCs w:val="22"/>
                <w:lang w:eastAsia="en-GB"/>
              </w:rPr>
              <w:t>10</w:t>
            </w:r>
            <w:r w:rsidR="1ACB4FCE" w:rsidRPr="3050D374">
              <w:rPr>
                <w:b/>
                <w:bCs/>
                <w:sz w:val="22"/>
                <w:szCs w:val="22"/>
                <w:lang w:eastAsia="en-GB"/>
              </w:rPr>
              <w:t>,</w:t>
            </w:r>
            <w:r w:rsidR="0AA39ED5" w:rsidRPr="3050D374">
              <w:rPr>
                <w:b/>
                <w:bCs/>
                <w:sz w:val="22"/>
                <w:szCs w:val="22"/>
                <w:lang w:eastAsia="en-GB"/>
              </w:rPr>
              <w:t>744</w:t>
            </w:r>
            <w:r w:rsidR="5CC27CA1" w:rsidRPr="3050D374">
              <w:rPr>
                <w:b/>
                <w:bCs/>
                <w:sz w:val="22"/>
                <w:szCs w:val="22"/>
                <w:lang w:eastAsia="en-GB"/>
              </w:rPr>
              <w:t>)</w:t>
            </w:r>
          </w:p>
        </w:tc>
        <w:tc>
          <w:tcPr>
            <w:tcW w:w="1276" w:type="dxa"/>
            <w:vAlign w:val="center"/>
          </w:tcPr>
          <w:p w14:paraId="1555DF13" w14:textId="5E1E5E0C" w:rsidR="00495E37" w:rsidRPr="00572DC5" w:rsidRDefault="5CC27CA1" w:rsidP="003C0EA0">
            <w:pPr>
              <w:jc w:val="right"/>
              <w:rPr>
                <w:b/>
                <w:sz w:val="22"/>
                <w:szCs w:val="22"/>
                <w:lang w:eastAsia="en-GB"/>
              </w:rPr>
            </w:pPr>
            <w:r w:rsidRPr="3050D374">
              <w:rPr>
                <w:b/>
                <w:bCs/>
                <w:sz w:val="22"/>
                <w:szCs w:val="22"/>
                <w:lang w:eastAsia="en-GB"/>
              </w:rPr>
              <w:t>(</w:t>
            </w:r>
            <w:r w:rsidR="4D09242B" w:rsidRPr="3050D374">
              <w:rPr>
                <w:b/>
                <w:bCs/>
                <w:sz w:val="22"/>
                <w:szCs w:val="22"/>
                <w:lang w:eastAsia="en-GB"/>
              </w:rPr>
              <w:t>15,094</w:t>
            </w:r>
            <w:r w:rsidRPr="3050D374">
              <w:rPr>
                <w:b/>
                <w:bCs/>
                <w:sz w:val="22"/>
                <w:szCs w:val="22"/>
                <w:lang w:eastAsia="en-GB"/>
              </w:rPr>
              <w:t>)</w:t>
            </w:r>
          </w:p>
        </w:tc>
        <w:tc>
          <w:tcPr>
            <w:tcW w:w="1276" w:type="dxa"/>
            <w:vAlign w:val="center"/>
          </w:tcPr>
          <w:p w14:paraId="5B189CBC" w14:textId="2C5571D8" w:rsidR="381A1FF6" w:rsidRPr="381A1FF6" w:rsidRDefault="295E23B3" w:rsidP="381A1FF6">
            <w:pPr>
              <w:jc w:val="right"/>
              <w:rPr>
                <w:b/>
                <w:sz w:val="22"/>
                <w:szCs w:val="22"/>
                <w:lang w:eastAsia="en-GB"/>
              </w:rPr>
            </w:pPr>
            <w:r w:rsidRPr="3050D374">
              <w:rPr>
                <w:b/>
                <w:bCs/>
                <w:sz w:val="22"/>
                <w:szCs w:val="22"/>
                <w:lang w:eastAsia="en-GB"/>
              </w:rPr>
              <w:t>(</w:t>
            </w:r>
            <w:r w:rsidR="11FAFDE1" w:rsidRPr="3050D374">
              <w:rPr>
                <w:b/>
                <w:bCs/>
                <w:sz w:val="22"/>
                <w:szCs w:val="22"/>
                <w:lang w:eastAsia="en-GB"/>
              </w:rPr>
              <w:t>2</w:t>
            </w:r>
            <w:r w:rsidR="0A10622D" w:rsidRPr="3050D374">
              <w:rPr>
                <w:b/>
                <w:bCs/>
                <w:sz w:val="22"/>
                <w:szCs w:val="22"/>
                <w:lang w:eastAsia="en-GB"/>
              </w:rPr>
              <w:t>0</w:t>
            </w:r>
            <w:r w:rsidR="11FAFDE1" w:rsidRPr="3050D374">
              <w:rPr>
                <w:b/>
                <w:bCs/>
                <w:sz w:val="22"/>
                <w:szCs w:val="22"/>
                <w:lang w:eastAsia="en-GB"/>
              </w:rPr>
              <w:t>,</w:t>
            </w:r>
            <w:r w:rsidR="628E41F8" w:rsidRPr="3050D374">
              <w:rPr>
                <w:b/>
                <w:bCs/>
                <w:sz w:val="22"/>
                <w:szCs w:val="22"/>
                <w:lang w:eastAsia="en-GB"/>
              </w:rPr>
              <w:t>531</w:t>
            </w:r>
            <w:r w:rsidRPr="3050D374">
              <w:rPr>
                <w:b/>
                <w:bCs/>
                <w:sz w:val="22"/>
                <w:szCs w:val="22"/>
                <w:lang w:eastAsia="en-GB"/>
              </w:rPr>
              <w:t>)</w:t>
            </w:r>
          </w:p>
        </w:tc>
      </w:tr>
      <w:tr w:rsidR="00495E37" w:rsidRPr="00572DC5" w14:paraId="02109D79" w14:textId="718730AC" w:rsidTr="381A1FF6">
        <w:trPr>
          <w:trHeight w:val="300"/>
        </w:trPr>
        <w:tc>
          <w:tcPr>
            <w:tcW w:w="2737" w:type="dxa"/>
            <w:noWrap/>
            <w:vAlign w:val="bottom"/>
          </w:tcPr>
          <w:p w14:paraId="60095D71" w14:textId="77777777" w:rsidR="00495E37" w:rsidRPr="00572DC5" w:rsidRDefault="00495E37" w:rsidP="00495E37">
            <w:pPr>
              <w:rPr>
                <w:rFonts w:cs="Arial"/>
                <w:color w:val="000000"/>
                <w:sz w:val="22"/>
                <w:szCs w:val="22"/>
                <w:highlight w:val="yellow"/>
                <w:lang w:eastAsia="en-GB"/>
              </w:rPr>
            </w:pPr>
          </w:p>
        </w:tc>
        <w:tc>
          <w:tcPr>
            <w:tcW w:w="1276" w:type="dxa"/>
            <w:noWrap/>
            <w:vAlign w:val="bottom"/>
          </w:tcPr>
          <w:p w14:paraId="272D74ED" w14:textId="77777777" w:rsidR="00495E37" w:rsidRPr="00572DC5" w:rsidRDefault="00495E37" w:rsidP="00495E37">
            <w:pPr>
              <w:jc w:val="right"/>
              <w:rPr>
                <w:sz w:val="22"/>
                <w:szCs w:val="22"/>
                <w:lang w:eastAsia="en-GB"/>
              </w:rPr>
            </w:pPr>
          </w:p>
        </w:tc>
        <w:tc>
          <w:tcPr>
            <w:tcW w:w="1276" w:type="dxa"/>
            <w:noWrap/>
            <w:vAlign w:val="bottom"/>
          </w:tcPr>
          <w:p w14:paraId="15EB61B8" w14:textId="77777777" w:rsidR="00495E37" w:rsidRPr="00572DC5" w:rsidRDefault="00495E37" w:rsidP="00495E37">
            <w:pPr>
              <w:jc w:val="right"/>
              <w:rPr>
                <w:sz w:val="22"/>
                <w:szCs w:val="22"/>
                <w:lang w:eastAsia="en-GB"/>
              </w:rPr>
            </w:pPr>
          </w:p>
        </w:tc>
        <w:tc>
          <w:tcPr>
            <w:tcW w:w="1276" w:type="dxa"/>
          </w:tcPr>
          <w:p w14:paraId="6613C010" w14:textId="77777777" w:rsidR="00495E37" w:rsidRPr="00572DC5" w:rsidRDefault="00495E37" w:rsidP="00495E37">
            <w:pPr>
              <w:jc w:val="right"/>
              <w:rPr>
                <w:sz w:val="22"/>
                <w:szCs w:val="22"/>
                <w:lang w:eastAsia="en-GB"/>
              </w:rPr>
            </w:pPr>
          </w:p>
        </w:tc>
        <w:tc>
          <w:tcPr>
            <w:tcW w:w="1276" w:type="dxa"/>
          </w:tcPr>
          <w:p w14:paraId="08D95E58" w14:textId="77777777" w:rsidR="00495E37" w:rsidRPr="00572DC5" w:rsidRDefault="00495E37" w:rsidP="00495E37">
            <w:pPr>
              <w:jc w:val="right"/>
              <w:rPr>
                <w:sz w:val="22"/>
                <w:szCs w:val="22"/>
                <w:lang w:eastAsia="en-GB"/>
              </w:rPr>
            </w:pPr>
          </w:p>
        </w:tc>
        <w:tc>
          <w:tcPr>
            <w:tcW w:w="1276" w:type="dxa"/>
          </w:tcPr>
          <w:p w14:paraId="1EF944DC" w14:textId="2DBA7A03" w:rsidR="381A1FF6" w:rsidRDefault="381A1FF6" w:rsidP="381A1FF6">
            <w:pPr>
              <w:jc w:val="right"/>
              <w:rPr>
                <w:sz w:val="22"/>
                <w:szCs w:val="22"/>
                <w:lang w:eastAsia="en-GB"/>
              </w:rPr>
            </w:pPr>
          </w:p>
        </w:tc>
      </w:tr>
    </w:tbl>
    <w:p w14:paraId="2C897C6E" w14:textId="77777777" w:rsidR="00093D0E" w:rsidRPr="00572DC5" w:rsidRDefault="00093D0E" w:rsidP="002A45B3">
      <w:pPr>
        <w:autoSpaceDE w:val="0"/>
        <w:autoSpaceDN w:val="0"/>
        <w:adjustRightInd w:val="0"/>
        <w:ind w:right="380"/>
        <w:jc w:val="both"/>
        <w:rPr>
          <w:rFonts w:cs="Arial"/>
          <w:b/>
          <w:highlight w:val="yellow"/>
        </w:rPr>
      </w:pPr>
    </w:p>
    <w:p w14:paraId="511A24EB" w14:textId="77777777" w:rsidR="00093D0E" w:rsidRPr="00572DC5" w:rsidRDefault="00093D0E" w:rsidP="002A45B3">
      <w:pPr>
        <w:autoSpaceDE w:val="0"/>
        <w:autoSpaceDN w:val="0"/>
        <w:adjustRightInd w:val="0"/>
        <w:ind w:right="380"/>
        <w:jc w:val="both"/>
        <w:rPr>
          <w:rFonts w:cs="Arial"/>
          <w:b/>
          <w:highlight w:val="yellow"/>
        </w:rPr>
      </w:pPr>
    </w:p>
    <w:p w14:paraId="44A94CC0" w14:textId="77777777" w:rsidR="00902E5A" w:rsidRPr="00572DC5" w:rsidRDefault="00902E5A" w:rsidP="002A45B3">
      <w:pPr>
        <w:autoSpaceDE w:val="0"/>
        <w:autoSpaceDN w:val="0"/>
        <w:adjustRightInd w:val="0"/>
        <w:ind w:right="380"/>
        <w:jc w:val="both"/>
        <w:rPr>
          <w:rFonts w:cs="Arial"/>
          <w:b/>
        </w:rPr>
      </w:pPr>
      <w:r w:rsidRPr="381A1FF6">
        <w:rPr>
          <w:rFonts w:cs="Arial"/>
          <w:b/>
        </w:rPr>
        <w:t>Risk Implications</w:t>
      </w:r>
    </w:p>
    <w:p w14:paraId="2DF247E1" w14:textId="77777777" w:rsidR="00902E5A" w:rsidRPr="00572DC5" w:rsidRDefault="00902E5A" w:rsidP="002A45B3">
      <w:pPr>
        <w:autoSpaceDE w:val="0"/>
        <w:autoSpaceDN w:val="0"/>
        <w:adjustRightInd w:val="0"/>
        <w:ind w:left="720" w:right="380"/>
        <w:jc w:val="both"/>
        <w:rPr>
          <w:rFonts w:cs="Arial"/>
          <w:b/>
        </w:rPr>
      </w:pPr>
    </w:p>
    <w:p w14:paraId="42BC4C51" w14:textId="77777777" w:rsidR="00902E5A" w:rsidRPr="00572DC5" w:rsidRDefault="396DCCBB" w:rsidP="00851939">
      <w:pPr>
        <w:pStyle w:val="ListParagraph"/>
        <w:numPr>
          <w:ilvl w:val="0"/>
          <w:numId w:val="53"/>
        </w:numPr>
        <w:autoSpaceDE w:val="0"/>
        <w:autoSpaceDN w:val="0"/>
        <w:adjustRightInd w:val="0"/>
        <w:ind w:left="426" w:right="380" w:hanging="426"/>
        <w:jc w:val="both"/>
      </w:pPr>
      <w:r>
        <w:t xml:space="preserve">The main risks to the balanced position of </w:t>
      </w:r>
      <w:r w:rsidR="1337BA1B">
        <w:t xml:space="preserve">the </w:t>
      </w:r>
      <w:r w:rsidR="784E4A30">
        <w:t xml:space="preserve">HRA </w:t>
      </w:r>
      <w:r w:rsidR="5B2DC51F">
        <w:t>are</w:t>
      </w:r>
      <w:r w:rsidR="5616E388">
        <w:t xml:space="preserve"> </w:t>
      </w:r>
      <w:r w:rsidR="3FB91AB9">
        <w:t>summarised below</w:t>
      </w:r>
      <w:r w:rsidR="281E98C5">
        <w:t xml:space="preserve"> </w:t>
      </w:r>
      <w:r w:rsidR="4F91BBFD">
        <w:t>and detailed</w:t>
      </w:r>
      <w:r w:rsidR="784E4A30">
        <w:t xml:space="preserve"> in </w:t>
      </w:r>
      <w:r>
        <w:t xml:space="preserve">Appendix </w:t>
      </w:r>
      <w:r w:rsidR="6DFD7691">
        <w:t>8</w:t>
      </w:r>
      <w:r w:rsidR="3FB91AB9">
        <w:t>:</w:t>
      </w:r>
    </w:p>
    <w:p w14:paraId="4CC8A780" w14:textId="77777777" w:rsidR="00D06890" w:rsidRPr="00572DC5" w:rsidRDefault="00D06890" w:rsidP="00104315">
      <w:pPr>
        <w:autoSpaceDE w:val="0"/>
        <w:autoSpaceDN w:val="0"/>
        <w:adjustRightInd w:val="0"/>
        <w:ind w:left="993" w:right="380" w:hanging="993"/>
        <w:jc w:val="both"/>
      </w:pPr>
    </w:p>
    <w:p w14:paraId="2B8CE2C2" w14:textId="43430B0E" w:rsidR="006A45E5" w:rsidRPr="00572DC5" w:rsidRDefault="006A45E5" w:rsidP="00712800">
      <w:pPr>
        <w:numPr>
          <w:ilvl w:val="0"/>
          <w:numId w:val="16"/>
        </w:numPr>
        <w:tabs>
          <w:tab w:val="clear" w:pos="1080"/>
        </w:tabs>
        <w:autoSpaceDE w:val="0"/>
        <w:autoSpaceDN w:val="0"/>
        <w:adjustRightInd w:val="0"/>
        <w:ind w:left="1985" w:right="380" w:hanging="284"/>
        <w:rPr>
          <w:rFonts w:cs="Arial"/>
        </w:rPr>
      </w:pPr>
      <w:r w:rsidRPr="381A1FF6">
        <w:rPr>
          <w:rFonts w:cs="Arial"/>
        </w:rPr>
        <w:t xml:space="preserve">The government introduces a rent cap which is less than </w:t>
      </w:r>
      <w:r w:rsidR="455066B4" w:rsidRPr="3050D374">
        <w:rPr>
          <w:rFonts w:cs="Arial"/>
        </w:rPr>
        <w:t>CPI+1%</w:t>
      </w:r>
    </w:p>
    <w:p w14:paraId="48CEBECE" w14:textId="31EB490B" w:rsidR="00902E5A" w:rsidRPr="00572DC5" w:rsidRDefault="00902E5A" w:rsidP="00712800">
      <w:pPr>
        <w:numPr>
          <w:ilvl w:val="3"/>
          <w:numId w:val="16"/>
        </w:numPr>
        <w:tabs>
          <w:tab w:val="clear" w:pos="2880"/>
          <w:tab w:val="num" w:pos="3447"/>
        </w:tabs>
        <w:autoSpaceDE w:val="0"/>
        <w:autoSpaceDN w:val="0"/>
        <w:adjustRightInd w:val="0"/>
        <w:ind w:left="1985" w:right="380" w:hanging="284"/>
        <w:rPr>
          <w:rFonts w:cs="Arial"/>
        </w:rPr>
      </w:pPr>
      <w:r w:rsidRPr="381A1FF6">
        <w:rPr>
          <w:rFonts w:cs="Arial"/>
        </w:rPr>
        <w:t xml:space="preserve">Increased arrears due to </w:t>
      </w:r>
      <w:r w:rsidR="002468A6" w:rsidRPr="381A1FF6">
        <w:rPr>
          <w:rFonts w:cs="Arial"/>
        </w:rPr>
        <w:t>benefit changes</w:t>
      </w:r>
    </w:p>
    <w:p w14:paraId="3E7AAE7E" w14:textId="62EEB5D5" w:rsidR="00603CCF" w:rsidRPr="00572DC5" w:rsidRDefault="00603CCF" w:rsidP="00712800">
      <w:pPr>
        <w:numPr>
          <w:ilvl w:val="3"/>
          <w:numId w:val="16"/>
        </w:numPr>
        <w:tabs>
          <w:tab w:val="clear" w:pos="2880"/>
          <w:tab w:val="num" w:pos="3447"/>
        </w:tabs>
        <w:autoSpaceDE w:val="0"/>
        <w:autoSpaceDN w:val="0"/>
        <w:adjustRightInd w:val="0"/>
        <w:ind w:left="1985" w:right="380" w:hanging="284"/>
        <w:rPr>
          <w:rFonts w:cs="Arial"/>
        </w:rPr>
      </w:pPr>
      <w:r w:rsidRPr="381A1FF6">
        <w:rPr>
          <w:rFonts w:cs="Arial"/>
        </w:rPr>
        <w:t>Construction delays in Housing Company and subsequent effect on capital spend on new housing and net rental streams</w:t>
      </w:r>
      <w:r w:rsidR="00140E24" w:rsidRPr="381A1FF6">
        <w:rPr>
          <w:rFonts w:cs="Arial"/>
        </w:rPr>
        <w:t>.</w:t>
      </w:r>
    </w:p>
    <w:p w14:paraId="0384E075" w14:textId="7AC28E86" w:rsidR="00921B4B" w:rsidRPr="00572DC5" w:rsidRDefault="00921B4B" w:rsidP="00712800">
      <w:pPr>
        <w:numPr>
          <w:ilvl w:val="3"/>
          <w:numId w:val="16"/>
        </w:numPr>
        <w:tabs>
          <w:tab w:val="num" w:pos="2268"/>
        </w:tabs>
        <w:autoSpaceDE w:val="0"/>
        <w:autoSpaceDN w:val="0"/>
        <w:adjustRightInd w:val="0"/>
        <w:ind w:left="1985" w:right="380" w:hanging="284"/>
        <w:jc w:val="both"/>
        <w:rPr>
          <w:rFonts w:cs="Arial"/>
        </w:rPr>
      </w:pPr>
      <w:r w:rsidRPr="381A1FF6">
        <w:rPr>
          <w:rFonts w:cs="Arial"/>
        </w:rPr>
        <w:t>Variations in estimates causing cash flow problems</w:t>
      </w:r>
      <w:r w:rsidR="00140E24" w:rsidRPr="381A1FF6">
        <w:rPr>
          <w:rFonts w:cs="Arial"/>
        </w:rPr>
        <w:t>.</w:t>
      </w:r>
    </w:p>
    <w:p w14:paraId="1BA3A353" w14:textId="77777777" w:rsidR="002B7D72" w:rsidRPr="00572DC5" w:rsidRDefault="002B7D72" w:rsidP="00104315">
      <w:pPr>
        <w:autoSpaceDE w:val="0"/>
        <w:autoSpaceDN w:val="0"/>
        <w:adjustRightInd w:val="0"/>
        <w:ind w:left="1985" w:right="380" w:hanging="284"/>
        <w:jc w:val="both"/>
        <w:rPr>
          <w:rFonts w:cs="Arial"/>
          <w:highlight w:val="yellow"/>
        </w:rPr>
      </w:pPr>
    </w:p>
    <w:p w14:paraId="6FBD712E" w14:textId="77777777" w:rsidR="00C35200" w:rsidRPr="00572DC5" w:rsidRDefault="00C35200" w:rsidP="006D7F45">
      <w:pPr>
        <w:autoSpaceDE w:val="0"/>
        <w:autoSpaceDN w:val="0"/>
        <w:adjustRightInd w:val="0"/>
        <w:ind w:left="709" w:right="380" w:hanging="709"/>
        <w:jc w:val="both"/>
        <w:rPr>
          <w:rFonts w:cs="Arial"/>
          <w:highlight w:val="yellow"/>
        </w:rPr>
      </w:pPr>
    </w:p>
    <w:p w14:paraId="51ABDD3B" w14:textId="77777777" w:rsidR="002719F1" w:rsidRPr="00C0192B" w:rsidRDefault="002719F1" w:rsidP="006D7F45">
      <w:pPr>
        <w:ind w:left="709" w:right="386" w:hanging="709"/>
        <w:jc w:val="both"/>
        <w:rPr>
          <w:b/>
          <w:sz w:val="28"/>
          <w:szCs w:val="28"/>
        </w:rPr>
      </w:pPr>
      <w:r w:rsidRPr="00C0192B">
        <w:rPr>
          <w:b/>
          <w:sz w:val="28"/>
          <w:szCs w:val="28"/>
        </w:rPr>
        <w:t xml:space="preserve">Section D Capital </w:t>
      </w:r>
      <w:r w:rsidR="002468A6" w:rsidRPr="00C0192B">
        <w:rPr>
          <w:b/>
          <w:sz w:val="28"/>
          <w:szCs w:val="28"/>
        </w:rPr>
        <w:t>Programme</w:t>
      </w:r>
    </w:p>
    <w:p w14:paraId="49531373" w14:textId="77777777" w:rsidR="002719F1" w:rsidRPr="00C0192B" w:rsidRDefault="002719F1" w:rsidP="006D7F45">
      <w:pPr>
        <w:ind w:left="709" w:right="386" w:hanging="709"/>
        <w:jc w:val="both"/>
        <w:rPr>
          <w:b/>
          <w:sz w:val="22"/>
          <w:szCs w:val="22"/>
        </w:rPr>
      </w:pPr>
    </w:p>
    <w:p w14:paraId="7F65B718" w14:textId="714EF14B" w:rsidR="00070723" w:rsidRPr="00C0192B" w:rsidRDefault="00E301DC" w:rsidP="006D7F45">
      <w:pPr>
        <w:pStyle w:val="Default"/>
        <w:tabs>
          <w:tab w:val="left" w:pos="709"/>
        </w:tabs>
        <w:ind w:right="386" w:hanging="720"/>
        <w:rPr>
          <w:b/>
        </w:rPr>
      </w:pPr>
      <w:r w:rsidRPr="00C0192B">
        <w:tab/>
      </w:r>
      <w:r w:rsidRPr="00C0192B">
        <w:rPr>
          <w:b/>
        </w:rPr>
        <w:t>Optimism Bias</w:t>
      </w:r>
    </w:p>
    <w:p w14:paraId="121957EE" w14:textId="77777777" w:rsidR="00E301DC" w:rsidRPr="00C0192B" w:rsidRDefault="00E301DC" w:rsidP="006D7F45">
      <w:pPr>
        <w:pStyle w:val="Default"/>
        <w:tabs>
          <w:tab w:val="left" w:pos="709"/>
        </w:tabs>
        <w:ind w:right="386" w:hanging="720"/>
      </w:pPr>
    </w:p>
    <w:p w14:paraId="0342D159" w14:textId="3D290EC8" w:rsidR="002F79B1" w:rsidRDefault="18922296" w:rsidP="00B31981">
      <w:pPr>
        <w:pStyle w:val="ListParagraph"/>
        <w:numPr>
          <w:ilvl w:val="0"/>
          <w:numId w:val="53"/>
        </w:numPr>
        <w:ind w:left="426" w:right="386" w:hanging="568"/>
      </w:pPr>
      <w:r w:rsidRPr="00C0192B">
        <w:t xml:space="preserve">In previous years the spend profile on the programme has not matched that of the budget set. </w:t>
      </w:r>
      <w:r w:rsidR="2601836E" w:rsidRPr="00C0192B">
        <w:t>Typically,</w:t>
      </w:r>
      <w:r w:rsidRPr="00C0192B">
        <w:t xml:space="preserve"> only spend of around </w:t>
      </w:r>
      <w:r w:rsidR="009331E6">
        <w:t>6</w:t>
      </w:r>
      <w:r w:rsidRPr="00C0192B">
        <w:t xml:space="preserve">0% has been achieved. This shortfall </w:t>
      </w:r>
      <w:r w:rsidRPr="00C0192B">
        <w:lastRenderedPageBreak/>
        <w:t>can be for a number of reasons</w:t>
      </w:r>
      <w:r w:rsidR="00BD3150" w:rsidRPr="00C0192B">
        <w:t>,</w:t>
      </w:r>
      <w:r w:rsidRPr="00C0192B">
        <w:t xml:space="preserve"> most simply relating to delays in development</w:t>
      </w:r>
      <w:r w:rsidR="3F1F80A1" w:rsidRPr="00C0192B">
        <w:t xml:space="preserve">, not least due to cost and borrowing increases, and the complexity of some of our key sites and assets, </w:t>
      </w:r>
      <w:r w:rsidRPr="00C0192B">
        <w:t xml:space="preserve">most of which members will be aware of. This underspend can have a significant impact on the local </w:t>
      </w:r>
      <w:r w:rsidR="5DBFD008" w:rsidRPr="00C0192B">
        <w:t>authorities'</w:t>
      </w:r>
      <w:r w:rsidRPr="00C0192B">
        <w:t xml:space="preserve"> finance</w:t>
      </w:r>
      <w:r w:rsidR="46454719" w:rsidRPr="00C0192B">
        <w:t>s.  On the one hand, not spending money reduces the need to borrow, but failing to spend money planned also reduces the ability to plan available funds and can reduce investment income.</w:t>
      </w:r>
      <w:r w:rsidRPr="00C0192B">
        <w:t xml:space="preserve"> </w:t>
      </w:r>
    </w:p>
    <w:p w14:paraId="5554887C" w14:textId="77777777" w:rsidR="00B31981" w:rsidRPr="00C0192B" w:rsidRDefault="00B31981" w:rsidP="00B31981">
      <w:pPr>
        <w:pStyle w:val="ListParagraph"/>
        <w:ind w:left="426" w:right="386"/>
      </w:pPr>
    </w:p>
    <w:p w14:paraId="1848ACD3" w14:textId="7F805B3A" w:rsidR="00E301DC" w:rsidRPr="00C0192B" w:rsidRDefault="18922296" w:rsidP="00B31981">
      <w:pPr>
        <w:pStyle w:val="ListParagraph"/>
        <w:numPr>
          <w:ilvl w:val="0"/>
          <w:numId w:val="53"/>
        </w:numPr>
        <w:ind w:left="426" w:right="386" w:hanging="568"/>
      </w:pPr>
      <w:r w:rsidRPr="00C0192B">
        <w:t xml:space="preserve">The HM Treasury Green Book on how to appraise programme and projects also recognises ‘optimism bias’ </w:t>
      </w:r>
      <w:r w:rsidR="0367A8A7" w:rsidRPr="00C0192B">
        <w:t xml:space="preserve">or the </w:t>
      </w:r>
      <w:r w:rsidR="2CF924F6" w:rsidRPr="00C0192B">
        <w:t>tendency</w:t>
      </w:r>
      <w:r w:rsidR="0367A8A7" w:rsidRPr="00C0192B">
        <w:t xml:space="preserve"> for appraisers to be over optimistic about key project parameters including capital </w:t>
      </w:r>
      <w:r w:rsidR="2CF924F6" w:rsidRPr="00C0192B">
        <w:t>costs, operating</w:t>
      </w:r>
      <w:r w:rsidR="0367A8A7" w:rsidRPr="00C0192B">
        <w:t xml:space="preserve"> costs, and project duration.  The Green Book recommends adjusting for this based on past experience. </w:t>
      </w:r>
    </w:p>
    <w:p w14:paraId="489FBF6F" w14:textId="77777777" w:rsidR="00E301DC" w:rsidRPr="005D6FF3" w:rsidRDefault="0367A8A7" w:rsidP="00B31981">
      <w:pPr>
        <w:pStyle w:val="ListParagraph"/>
        <w:numPr>
          <w:ilvl w:val="0"/>
          <w:numId w:val="53"/>
        </w:numPr>
        <w:ind w:left="426" w:right="386" w:hanging="568"/>
      </w:pPr>
      <w:r w:rsidRPr="00C0192B">
        <w:t xml:space="preserve">In drawing up the capital programme for this year an optimism bias has been applied to both General Fund and HRA Capital which has the effect of reducing </w:t>
      </w:r>
      <w:r w:rsidRPr="009331E6">
        <w:t>the capital with cost of capital revenue costs being adjustment accordingly in the MTFP</w:t>
      </w:r>
      <w:r w:rsidRPr="005D6FF3">
        <w:t xml:space="preserve">. </w:t>
      </w:r>
    </w:p>
    <w:p w14:paraId="30424D50" w14:textId="5A6C49F6" w:rsidR="00E301DC" w:rsidRDefault="0367A8A7" w:rsidP="00B31981">
      <w:pPr>
        <w:pStyle w:val="ListParagraph"/>
        <w:numPr>
          <w:ilvl w:val="0"/>
          <w:numId w:val="53"/>
        </w:numPr>
        <w:ind w:left="426" w:right="386" w:hanging="568"/>
      </w:pPr>
      <w:r w:rsidRPr="005D6FF3">
        <w:t>The total budgeted capital spend of £</w:t>
      </w:r>
      <w:r w:rsidR="002A0239" w:rsidRPr="005D6FF3">
        <w:t>725</w:t>
      </w:r>
      <w:r w:rsidRPr="005D6FF3">
        <w:t xml:space="preserve"> million over the </w:t>
      </w:r>
      <w:r w:rsidR="00EF2E5F" w:rsidRPr="005D6FF3">
        <w:t xml:space="preserve">four </w:t>
      </w:r>
      <w:r w:rsidRPr="005D6FF3">
        <w:t>year programme is therefor</w:t>
      </w:r>
      <w:r w:rsidR="2CF924F6" w:rsidRPr="005D6FF3">
        <w:t>e</w:t>
      </w:r>
      <w:r w:rsidRPr="005D6FF3">
        <w:t xml:space="preserve"> reduced </w:t>
      </w:r>
      <w:r w:rsidR="009331E6" w:rsidRPr="005D6FF3">
        <w:t>to £</w:t>
      </w:r>
      <w:r w:rsidR="005D6FF3" w:rsidRPr="005D6FF3">
        <w:t>696</w:t>
      </w:r>
      <w:r w:rsidR="009331E6" w:rsidRPr="005D6FF3">
        <w:t xml:space="preserve"> million, </w:t>
      </w:r>
      <w:r w:rsidRPr="005D6FF3">
        <w:t xml:space="preserve">as </w:t>
      </w:r>
      <w:r w:rsidR="4FF10EE3" w:rsidRPr="005D6FF3">
        <w:t>follows:</w:t>
      </w:r>
    </w:p>
    <w:p w14:paraId="2D3FB702" w14:textId="77777777" w:rsidR="005B6955" w:rsidRDefault="005B6955" w:rsidP="005B6955">
      <w:pPr>
        <w:ind w:right="386"/>
      </w:pPr>
    </w:p>
    <w:p w14:paraId="3AB95BA1" w14:textId="2C01C6B9" w:rsidR="00ED2696" w:rsidRPr="009331E6" w:rsidRDefault="1278DF05" w:rsidP="60EA432F">
      <w:pPr>
        <w:ind w:right="386"/>
        <w:rPr>
          <w:b/>
          <w:bCs/>
        </w:rPr>
      </w:pPr>
      <w:r w:rsidRPr="009331E6">
        <w:rPr>
          <w:b/>
          <w:bCs/>
        </w:rPr>
        <w:t>Table 1</w:t>
      </w:r>
      <w:r w:rsidR="009004FF">
        <w:rPr>
          <w:b/>
          <w:bCs/>
        </w:rPr>
        <w:t>2</w:t>
      </w:r>
      <w:r w:rsidRPr="009331E6">
        <w:rPr>
          <w:b/>
          <w:bCs/>
        </w:rPr>
        <w:t xml:space="preserve"> : Capital Programme Optimism Bias</w:t>
      </w:r>
    </w:p>
    <w:p w14:paraId="73164F7B" w14:textId="77777777" w:rsidR="00AD40A5" w:rsidRPr="009331E6" w:rsidRDefault="00AD40A5" w:rsidP="60EA432F">
      <w:pPr>
        <w:ind w:right="386"/>
        <w:rPr>
          <w:b/>
          <w:bCs/>
        </w:rPr>
      </w:pPr>
    </w:p>
    <w:p w14:paraId="6604105D" w14:textId="34D21DD0" w:rsidR="00AD40A5" w:rsidRPr="009331E6" w:rsidRDefault="00AC5F86" w:rsidP="60EA432F">
      <w:pPr>
        <w:ind w:right="386"/>
        <w:rPr>
          <w:b/>
          <w:bCs/>
        </w:rPr>
      </w:pPr>
      <w:r w:rsidRPr="00AC5F86">
        <w:rPr>
          <w:noProof/>
        </w:rPr>
        <w:drawing>
          <wp:inline distT="0" distB="0" distL="0" distR="0" wp14:anchorId="458FD2BF" wp14:editId="18F5C2C6">
            <wp:extent cx="6022975" cy="2817495"/>
            <wp:effectExtent l="0" t="0" r="0" b="1905"/>
            <wp:docPr id="4541619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22975" cy="2817495"/>
                    </a:xfrm>
                    <a:prstGeom prst="rect">
                      <a:avLst/>
                    </a:prstGeom>
                    <a:noFill/>
                    <a:ln>
                      <a:noFill/>
                    </a:ln>
                  </pic:spPr>
                </pic:pic>
              </a:graphicData>
            </a:graphic>
          </wp:inline>
        </w:drawing>
      </w:r>
    </w:p>
    <w:p w14:paraId="7B598B62" w14:textId="3DF24008" w:rsidR="00AD40A5" w:rsidRPr="009331E6" w:rsidRDefault="00AD40A5" w:rsidP="60EA432F">
      <w:pPr>
        <w:ind w:right="386"/>
        <w:rPr>
          <w:b/>
          <w:bCs/>
        </w:rPr>
      </w:pPr>
    </w:p>
    <w:p w14:paraId="0A9E9A4F" w14:textId="1A44EAEC" w:rsidR="00E301DC" w:rsidRPr="009331E6" w:rsidRDefault="00E301DC" w:rsidP="00E301DC">
      <w:pPr>
        <w:ind w:right="386"/>
        <w:rPr>
          <w:b/>
        </w:rPr>
      </w:pPr>
      <w:r w:rsidRPr="009331E6">
        <w:rPr>
          <w:b/>
        </w:rPr>
        <w:t>General Fund Programme</w:t>
      </w:r>
    </w:p>
    <w:p w14:paraId="019286F8" w14:textId="77777777" w:rsidR="00E301DC" w:rsidRPr="009331E6" w:rsidRDefault="00E301DC" w:rsidP="00E301DC">
      <w:pPr>
        <w:ind w:right="386"/>
      </w:pPr>
    </w:p>
    <w:p w14:paraId="60F51E26" w14:textId="5FF74BE7" w:rsidR="00E301DC" w:rsidRPr="00AC5F86" w:rsidRDefault="0367A8A7" w:rsidP="00B31981">
      <w:pPr>
        <w:pStyle w:val="ListParagraph"/>
        <w:numPr>
          <w:ilvl w:val="0"/>
          <w:numId w:val="53"/>
        </w:numPr>
        <w:ind w:left="426" w:right="386" w:hanging="568"/>
      </w:pPr>
      <w:r w:rsidRPr="009331E6">
        <w:t xml:space="preserve">The total programme over the </w:t>
      </w:r>
      <w:r w:rsidR="00344269" w:rsidRPr="009331E6">
        <w:t>f</w:t>
      </w:r>
      <w:r w:rsidR="00E955E4">
        <w:t>our</w:t>
      </w:r>
      <w:r w:rsidR="00344269" w:rsidRPr="009331E6">
        <w:t>-year</w:t>
      </w:r>
      <w:r w:rsidRPr="009331E6">
        <w:t xml:space="preserve"> period is estimated at </w:t>
      </w:r>
      <w:r w:rsidR="2413DE31" w:rsidRPr="009331E6">
        <w:t>£</w:t>
      </w:r>
      <w:r w:rsidR="002A0239">
        <w:t>146</w:t>
      </w:r>
      <w:r w:rsidR="7B2EECE8" w:rsidRPr="009331E6">
        <w:t xml:space="preserve"> </w:t>
      </w:r>
      <w:r w:rsidR="45B954F4" w:rsidRPr="009331E6">
        <w:t>million</w:t>
      </w:r>
      <w:r w:rsidRPr="009331E6">
        <w:t xml:space="preserve">. Applying </w:t>
      </w:r>
      <w:r w:rsidRPr="00AC5F86">
        <w:t xml:space="preserve">optimism bias </w:t>
      </w:r>
      <w:r w:rsidR="00710AA0" w:rsidRPr="00AC5F86">
        <w:t xml:space="preserve">of 40% </w:t>
      </w:r>
      <w:r w:rsidR="4DEB3BE4" w:rsidRPr="00AC5F86">
        <w:t>taking into account slippage from 202</w:t>
      </w:r>
      <w:r w:rsidR="003A19C3" w:rsidRPr="00AC5F86">
        <w:t>5</w:t>
      </w:r>
      <w:r w:rsidR="4DEB3BE4" w:rsidRPr="00AC5F86">
        <w:t>-2</w:t>
      </w:r>
      <w:r w:rsidR="003A19C3" w:rsidRPr="00AC5F86">
        <w:t>6</w:t>
      </w:r>
      <w:r w:rsidR="4DEB3BE4" w:rsidRPr="00AC5F86">
        <w:t xml:space="preserve"> increases</w:t>
      </w:r>
      <w:r w:rsidRPr="00AC5F86">
        <w:t xml:space="preserve"> the programme to </w:t>
      </w:r>
      <w:r w:rsidR="4DEB3BE4" w:rsidRPr="00AC5F86">
        <w:t>£</w:t>
      </w:r>
      <w:r w:rsidR="00AC5F86" w:rsidRPr="00AC5F86">
        <w:t>168</w:t>
      </w:r>
      <w:r w:rsidR="001403B4" w:rsidRPr="00AC5F86">
        <w:t xml:space="preserve"> </w:t>
      </w:r>
      <w:r w:rsidR="4DEB3BE4" w:rsidRPr="00AC5F86">
        <w:t>m</w:t>
      </w:r>
      <w:r w:rsidRPr="00AC5F86">
        <w:t xml:space="preserve">. </w:t>
      </w:r>
    </w:p>
    <w:p w14:paraId="24B096BA" w14:textId="77777777" w:rsidR="00E301DC" w:rsidRPr="00625469" w:rsidRDefault="00E301DC" w:rsidP="00104315">
      <w:pPr>
        <w:pStyle w:val="ListParagraph"/>
        <w:ind w:left="709" w:right="386" w:hanging="709"/>
      </w:pPr>
    </w:p>
    <w:p w14:paraId="33986F9F" w14:textId="7108516B" w:rsidR="00AF0A2E" w:rsidRPr="00625469" w:rsidRDefault="42D49C0C" w:rsidP="00B31981">
      <w:pPr>
        <w:pStyle w:val="ListParagraph"/>
        <w:numPr>
          <w:ilvl w:val="0"/>
          <w:numId w:val="53"/>
        </w:numPr>
        <w:ind w:left="426" w:right="386" w:hanging="568"/>
      </w:pPr>
      <w:r w:rsidRPr="00625469">
        <w:t xml:space="preserve">New </w:t>
      </w:r>
      <w:r w:rsidR="3CCFE928" w:rsidRPr="00625469">
        <w:t xml:space="preserve">ICT </w:t>
      </w:r>
      <w:r w:rsidRPr="00625469">
        <w:t>Schemes of around £</w:t>
      </w:r>
      <w:r w:rsidR="6F8A1448" w:rsidRPr="00625469">
        <w:t>2.</w:t>
      </w:r>
      <w:r w:rsidR="002F0F90" w:rsidRPr="00625469">
        <w:t>7</w:t>
      </w:r>
      <w:r w:rsidR="00DC66F1" w:rsidRPr="00625469">
        <w:t xml:space="preserve"> </w:t>
      </w:r>
      <w:r w:rsidR="00875869" w:rsidRPr="00625469">
        <w:t>m</w:t>
      </w:r>
      <w:r w:rsidRPr="00625469">
        <w:t xml:space="preserve">illion are included in the </w:t>
      </w:r>
      <w:r w:rsidR="7E1557D6" w:rsidRPr="00625469">
        <w:t>budget</w:t>
      </w:r>
      <w:r w:rsidR="31A24943" w:rsidRPr="00625469">
        <w:t xml:space="preserve"> as well as </w:t>
      </w:r>
      <w:r w:rsidR="00A412D3" w:rsidRPr="00625469">
        <w:t xml:space="preserve">£1 </w:t>
      </w:r>
      <w:r w:rsidR="00EC4867" w:rsidRPr="00625469">
        <w:t>million</w:t>
      </w:r>
      <w:r w:rsidR="00A412D3" w:rsidRPr="00625469">
        <w:t xml:space="preserve"> </w:t>
      </w:r>
      <w:r w:rsidR="003A0EFD" w:rsidRPr="00625469">
        <w:t xml:space="preserve">for Oxford ice rink roof works, </w:t>
      </w:r>
      <w:r w:rsidR="005735B9" w:rsidRPr="00625469">
        <w:t>£317k of street light upgrades</w:t>
      </w:r>
      <w:r w:rsidR="00A73CDE" w:rsidRPr="00625469">
        <w:t xml:space="preserve"> and £260k for electric vehicle charging infrastructure for </w:t>
      </w:r>
      <w:r w:rsidR="00A412D3" w:rsidRPr="00625469">
        <w:t>fleet</w:t>
      </w:r>
      <w:r w:rsidR="6031EE72" w:rsidRPr="00625469">
        <w:t>.</w:t>
      </w:r>
      <w:r w:rsidR="008E349E" w:rsidRPr="00625469">
        <w:t xml:space="preserve"> Additionally works added </w:t>
      </w:r>
      <w:r w:rsidR="00625469" w:rsidRPr="00625469">
        <w:t>from</w:t>
      </w:r>
      <w:r w:rsidR="008E349E" w:rsidRPr="00625469">
        <w:t xml:space="preserve"> the capital pipeline </w:t>
      </w:r>
      <w:r w:rsidR="00625469" w:rsidRPr="00625469">
        <w:t>includes</w:t>
      </w:r>
      <w:r w:rsidR="008E349E" w:rsidRPr="00625469">
        <w:t xml:space="preserve"> £1million for waterways investment</w:t>
      </w:r>
      <w:r w:rsidR="00757293" w:rsidRPr="00625469">
        <w:t>, £150k for fire risk assessments, £100k for stone wall r</w:t>
      </w:r>
      <w:r w:rsidR="007322E0" w:rsidRPr="00625469">
        <w:t>efurbs. £750k for Blackbird Leys re</w:t>
      </w:r>
      <w:r w:rsidR="00745EFE" w:rsidRPr="00625469">
        <w:t>generation</w:t>
      </w:r>
      <w:r w:rsidR="000230EB" w:rsidRPr="00625469">
        <w:t>, £200k for a new substation at the covered market, £600k for replacement lifts</w:t>
      </w:r>
      <w:r w:rsidR="00625469" w:rsidRPr="00625469">
        <w:t>.</w:t>
      </w:r>
    </w:p>
    <w:p w14:paraId="0E9F77D5" w14:textId="77777777" w:rsidR="00D0012F" w:rsidRDefault="00D0012F" w:rsidP="00875869">
      <w:pPr>
        <w:pStyle w:val="Default"/>
        <w:ind w:left="567" w:right="386" w:hanging="567"/>
        <w:jc w:val="both"/>
        <w:rPr>
          <w:color w:val="auto"/>
          <w:highlight w:val="yellow"/>
        </w:rPr>
      </w:pPr>
    </w:p>
    <w:p w14:paraId="4FD8E3A5" w14:textId="77777777" w:rsidR="00570A06" w:rsidRPr="00572DC5" w:rsidRDefault="00570A06" w:rsidP="00875869">
      <w:pPr>
        <w:pStyle w:val="Default"/>
        <w:ind w:left="567" w:right="386" w:hanging="567"/>
        <w:jc w:val="both"/>
        <w:rPr>
          <w:color w:val="auto"/>
          <w:highlight w:val="yellow"/>
        </w:rPr>
      </w:pPr>
    </w:p>
    <w:p w14:paraId="01A64AB4" w14:textId="77777777" w:rsidR="00875869" w:rsidRPr="005813EE" w:rsidRDefault="007F656D" w:rsidP="00875869">
      <w:pPr>
        <w:pStyle w:val="ListParagraph"/>
        <w:tabs>
          <w:tab w:val="left" w:pos="709"/>
          <w:tab w:val="left" w:pos="851"/>
          <w:tab w:val="left" w:pos="8080"/>
        </w:tabs>
        <w:ind w:left="0" w:right="934"/>
        <w:jc w:val="both"/>
        <w:rPr>
          <w:b/>
        </w:rPr>
      </w:pPr>
      <w:r w:rsidRPr="005813EE">
        <w:rPr>
          <w:b/>
        </w:rPr>
        <w:lastRenderedPageBreak/>
        <w:t xml:space="preserve">Pipeline of capital projects </w:t>
      </w:r>
    </w:p>
    <w:p w14:paraId="735AF11A" w14:textId="77777777" w:rsidR="00875869" w:rsidRPr="005813EE" w:rsidRDefault="00875869" w:rsidP="6E37FCBD">
      <w:pPr>
        <w:pStyle w:val="ListParagraph"/>
        <w:tabs>
          <w:tab w:val="left" w:pos="709"/>
          <w:tab w:val="left" w:pos="851"/>
          <w:tab w:val="left" w:pos="8080"/>
        </w:tabs>
        <w:ind w:left="1080" w:right="934"/>
        <w:jc w:val="both"/>
        <w:rPr>
          <w:b/>
        </w:rPr>
      </w:pPr>
    </w:p>
    <w:p w14:paraId="0D03A840" w14:textId="2878AE3C" w:rsidR="007F656D" w:rsidRPr="005813EE" w:rsidRDefault="00F42D9C" w:rsidP="00B31981">
      <w:pPr>
        <w:pStyle w:val="ListParagraph"/>
        <w:numPr>
          <w:ilvl w:val="0"/>
          <w:numId w:val="53"/>
        </w:numPr>
        <w:tabs>
          <w:tab w:val="left" w:pos="426"/>
          <w:tab w:val="left" w:pos="851"/>
          <w:tab w:val="left" w:pos="8080"/>
        </w:tabs>
        <w:ind w:left="426" w:right="934" w:hanging="710"/>
        <w:jc w:val="both"/>
      </w:pPr>
      <w:r w:rsidRPr="005813EE">
        <w:t>T</w:t>
      </w:r>
      <w:r w:rsidR="007F656D" w:rsidRPr="005813EE">
        <w:t xml:space="preserve">here are a number of capital projects </w:t>
      </w:r>
      <w:r w:rsidR="7B595BAC" w:rsidRPr="005813EE">
        <w:t>totalling £</w:t>
      </w:r>
      <w:r w:rsidR="004C09FA" w:rsidRPr="005813EE">
        <w:t xml:space="preserve">42.7 </w:t>
      </w:r>
      <w:r w:rsidR="7B595BAC" w:rsidRPr="005813EE">
        <w:t xml:space="preserve">million </w:t>
      </w:r>
      <w:r w:rsidR="007F656D" w:rsidRPr="005813EE">
        <w:t xml:space="preserve">which have yet to be fully worked up such as </w:t>
      </w:r>
      <w:r w:rsidR="003A5846" w:rsidRPr="005813EE">
        <w:t xml:space="preserve">energy </w:t>
      </w:r>
      <w:r w:rsidR="3A43D8FC" w:rsidRPr="005813EE">
        <w:t>surveys</w:t>
      </w:r>
      <w:r w:rsidR="003A5846" w:rsidRPr="005813EE">
        <w:t>, town hall works and wate</w:t>
      </w:r>
      <w:r w:rsidR="0C9FF464" w:rsidRPr="005813EE">
        <w:t>r</w:t>
      </w:r>
      <w:r w:rsidR="003A5846" w:rsidRPr="005813EE">
        <w:t>ways</w:t>
      </w:r>
      <w:r w:rsidR="007F656D" w:rsidRPr="005813EE">
        <w:t xml:space="preserve">. These are held in a pipeline which will be subject to the full </w:t>
      </w:r>
      <w:r w:rsidR="00761C7F" w:rsidRPr="005813EE">
        <w:t>rigo</w:t>
      </w:r>
      <w:r w:rsidR="00BD3150" w:rsidRPr="005813EE">
        <w:t>u</w:t>
      </w:r>
      <w:r w:rsidR="00761C7F" w:rsidRPr="005813EE">
        <w:t>r</w:t>
      </w:r>
      <w:r w:rsidR="007F656D" w:rsidRPr="005813EE">
        <w:t xml:space="preserve"> of scrutiny through </w:t>
      </w:r>
      <w:r w:rsidR="5890CEBF" w:rsidRPr="005813EE">
        <w:t>the Development</w:t>
      </w:r>
      <w:r w:rsidR="007F656D" w:rsidRPr="005813EE">
        <w:t xml:space="preserve"> Board before bein</w:t>
      </w:r>
      <w:r w:rsidR="00761C7F" w:rsidRPr="005813EE">
        <w:t xml:space="preserve">g submitted for member approval. </w:t>
      </w:r>
      <w:r w:rsidR="10ABBA2B" w:rsidRPr="005813EE">
        <w:t>These schemes include :</w:t>
      </w:r>
    </w:p>
    <w:p w14:paraId="40BE928C" w14:textId="13BD42B8" w:rsidR="6E839135" w:rsidRPr="005813EE" w:rsidRDefault="00742906" w:rsidP="00712800">
      <w:pPr>
        <w:pStyle w:val="ListParagraph"/>
        <w:numPr>
          <w:ilvl w:val="0"/>
          <w:numId w:val="23"/>
        </w:numPr>
        <w:tabs>
          <w:tab w:val="left" w:pos="8080"/>
        </w:tabs>
        <w:ind w:left="1985" w:right="934"/>
        <w:jc w:val="both"/>
      </w:pPr>
      <w:r w:rsidRPr="005813EE">
        <w:t>Oxford flood alleviation- £1.3million</w:t>
      </w:r>
      <w:r w:rsidR="00BC2A7C" w:rsidRPr="005813EE">
        <w:t xml:space="preserve">. The Council has previously </w:t>
      </w:r>
      <w:r w:rsidR="005813EE" w:rsidRPr="005813EE">
        <w:t>contributed</w:t>
      </w:r>
      <w:r w:rsidR="00BC2A7C" w:rsidRPr="005813EE">
        <w:t xml:space="preserve"> towards this scheme (£1.5 million plus £900k of land)</w:t>
      </w:r>
      <w:r w:rsidR="002A5F14" w:rsidRPr="005813EE">
        <w:t xml:space="preserve">. The Environment Agency are looking for further funding </w:t>
      </w:r>
      <w:r w:rsidR="00A464DD" w:rsidRPr="005813EE">
        <w:t>although if approved this will be the back of the MTFP</w:t>
      </w:r>
    </w:p>
    <w:p w14:paraId="1BEC4C77" w14:textId="14A51ED5" w:rsidR="1DA2BBB1" w:rsidRPr="005813EE" w:rsidRDefault="1DA2BBB1" w:rsidP="00712800">
      <w:pPr>
        <w:pStyle w:val="ListParagraph"/>
        <w:numPr>
          <w:ilvl w:val="0"/>
          <w:numId w:val="23"/>
        </w:numPr>
        <w:tabs>
          <w:tab w:val="left" w:pos="851"/>
          <w:tab w:val="left" w:pos="8080"/>
        </w:tabs>
        <w:ind w:left="1985" w:right="934" w:hanging="284"/>
        <w:jc w:val="both"/>
      </w:pPr>
      <w:r w:rsidRPr="005813EE">
        <w:t xml:space="preserve">Cowley Branch Line </w:t>
      </w:r>
      <w:r w:rsidR="00460AAD" w:rsidRPr="005813EE">
        <w:t xml:space="preserve">£32.5 million </w:t>
      </w:r>
      <w:r w:rsidRPr="005813EE">
        <w:t xml:space="preserve">– Additional to </w:t>
      </w:r>
      <w:r w:rsidR="00875869" w:rsidRPr="005813EE">
        <w:t>existing</w:t>
      </w:r>
      <w:r w:rsidRPr="005813EE">
        <w:t xml:space="preserve"> capital scheme to be funded by </w:t>
      </w:r>
      <w:r w:rsidR="00460AAD" w:rsidRPr="005813EE">
        <w:t xml:space="preserve">partner contributions for which the council will be the accountable body </w:t>
      </w:r>
    </w:p>
    <w:p w14:paraId="078FC04D" w14:textId="2A1DB8C4" w:rsidR="180119A2" w:rsidRPr="005813EE" w:rsidRDefault="180119A2" w:rsidP="00712800">
      <w:pPr>
        <w:pStyle w:val="ListParagraph"/>
        <w:numPr>
          <w:ilvl w:val="0"/>
          <w:numId w:val="23"/>
        </w:numPr>
        <w:tabs>
          <w:tab w:val="left" w:pos="851"/>
          <w:tab w:val="left" w:pos="8080"/>
        </w:tabs>
        <w:ind w:left="1985" w:right="934" w:hanging="284"/>
        <w:jc w:val="both"/>
      </w:pPr>
      <w:r w:rsidRPr="005813EE">
        <w:t xml:space="preserve">Waterways </w:t>
      </w:r>
      <w:r w:rsidR="397B877A" w:rsidRPr="005813EE">
        <w:t xml:space="preserve">capital </w:t>
      </w:r>
      <w:r w:rsidRPr="005813EE">
        <w:t>investment</w:t>
      </w:r>
      <w:r w:rsidR="38DCE449" w:rsidRPr="005813EE">
        <w:t xml:space="preserve"> </w:t>
      </w:r>
      <w:r w:rsidR="007139CB" w:rsidRPr="005813EE">
        <w:t xml:space="preserve">£3m - </w:t>
      </w:r>
      <w:r w:rsidR="38DCE449" w:rsidRPr="005813EE">
        <w:t xml:space="preserve">to make sure that waterways ownership is </w:t>
      </w:r>
      <w:r w:rsidR="00344269" w:rsidRPr="005813EE">
        <w:t>safe,</w:t>
      </w:r>
      <w:r w:rsidRPr="005813EE">
        <w:t xml:space="preserve"> following survey work to sluice gates, banks, tow </w:t>
      </w:r>
      <w:r w:rsidR="008009B9" w:rsidRPr="005813EE">
        <w:t>paths</w:t>
      </w:r>
      <w:r w:rsidRPr="005813EE">
        <w:t xml:space="preserve">, culverts </w:t>
      </w:r>
      <w:r w:rsidR="008009B9" w:rsidRPr="005813EE">
        <w:t>etc</w:t>
      </w:r>
      <w:r w:rsidRPr="005813EE">
        <w:t xml:space="preserve">  </w:t>
      </w:r>
    </w:p>
    <w:p w14:paraId="5BCA85A3" w14:textId="039C17A0" w:rsidR="180119A2" w:rsidRDefault="180119A2" w:rsidP="00712800">
      <w:pPr>
        <w:pStyle w:val="ListParagraph"/>
        <w:numPr>
          <w:ilvl w:val="0"/>
          <w:numId w:val="23"/>
        </w:numPr>
        <w:tabs>
          <w:tab w:val="left" w:pos="709"/>
          <w:tab w:val="left" w:pos="851"/>
          <w:tab w:val="left" w:pos="8080"/>
        </w:tabs>
        <w:ind w:left="1985" w:right="934" w:hanging="284"/>
        <w:jc w:val="both"/>
      </w:pPr>
      <w:r w:rsidRPr="005813EE">
        <w:t xml:space="preserve">Town Hall </w:t>
      </w:r>
      <w:r w:rsidR="00875869" w:rsidRPr="005813EE">
        <w:t>property</w:t>
      </w:r>
      <w:r w:rsidRPr="005813EE">
        <w:t xml:space="preserve"> works – extension to the town hall works programme - £</w:t>
      </w:r>
      <w:r w:rsidR="007139CB" w:rsidRPr="005813EE">
        <w:t>4</w:t>
      </w:r>
      <w:r w:rsidRPr="005813EE">
        <w:t>m</w:t>
      </w:r>
    </w:p>
    <w:p w14:paraId="2369929D" w14:textId="36122A23" w:rsidR="00A4536C" w:rsidRPr="005813EE" w:rsidRDefault="00A4536C" w:rsidP="00712800">
      <w:pPr>
        <w:pStyle w:val="ListParagraph"/>
        <w:numPr>
          <w:ilvl w:val="0"/>
          <w:numId w:val="23"/>
        </w:numPr>
        <w:tabs>
          <w:tab w:val="left" w:pos="709"/>
          <w:tab w:val="left" w:pos="851"/>
          <w:tab w:val="left" w:pos="8080"/>
        </w:tabs>
        <w:ind w:left="1985" w:right="934" w:hanging="284"/>
        <w:jc w:val="both"/>
      </w:pPr>
      <w:r>
        <w:t>Hinksey Pool Sauna - £79k</w:t>
      </w:r>
      <w:r w:rsidR="0074186F">
        <w:t xml:space="preserve"> is included as an indication of the potential cost but a firm proposal needs to be worked up.</w:t>
      </w:r>
    </w:p>
    <w:p w14:paraId="58EFB9E0" w14:textId="4B6E0EC5" w:rsidR="0051107B" w:rsidRPr="005F3C3C" w:rsidRDefault="0051107B" w:rsidP="00104315">
      <w:pPr>
        <w:pStyle w:val="Default"/>
        <w:ind w:left="1985" w:right="386" w:hanging="284"/>
      </w:pPr>
    </w:p>
    <w:p w14:paraId="7FBAB80A" w14:textId="1C92AD93" w:rsidR="002719F1" w:rsidRPr="005F3C3C" w:rsidRDefault="21DB6ED2" w:rsidP="00B31981">
      <w:pPr>
        <w:pStyle w:val="Default"/>
        <w:numPr>
          <w:ilvl w:val="0"/>
          <w:numId w:val="53"/>
        </w:numPr>
        <w:ind w:left="426" w:right="386" w:hanging="568"/>
      </w:pPr>
      <w:r w:rsidRPr="005F3C3C">
        <w:t>F</w:t>
      </w:r>
      <w:r w:rsidR="44844F85" w:rsidRPr="005F3C3C">
        <w:t>und</w:t>
      </w:r>
      <w:r w:rsidRPr="005F3C3C">
        <w:t xml:space="preserve">ing of the </w:t>
      </w:r>
      <w:r w:rsidR="008009B9" w:rsidRPr="005F3C3C">
        <w:t>Program</w:t>
      </w:r>
      <w:r w:rsidRPr="005F3C3C">
        <w:t xml:space="preserve"> is </w:t>
      </w:r>
      <w:r w:rsidR="44844F85" w:rsidRPr="005F3C3C">
        <w:t xml:space="preserve">by </w:t>
      </w:r>
      <w:r w:rsidR="5F902880" w:rsidRPr="005F3C3C">
        <w:t xml:space="preserve">Community Infrastructure Levy </w:t>
      </w:r>
      <w:r w:rsidR="42E942E2" w:rsidRPr="005F3C3C">
        <w:t xml:space="preserve">and Section 106 </w:t>
      </w:r>
      <w:r w:rsidR="3CF6A448" w:rsidRPr="005F3C3C">
        <w:t>£</w:t>
      </w:r>
      <w:r w:rsidR="002006E5" w:rsidRPr="005F3C3C">
        <w:t>8</w:t>
      </w:r>
      <w:r w:rsidR="332111D2" w:rsidRPr="005F3C3C">
        <w:t xml:space="preserve"> </w:t>
      </w:r>
      <w:r w:rsidR="3CF6A448" w:rsidRPr="005F3C3C">
        <w:t xml:space="preserve">million </w:t>
      </w:r>
      <w:r w:rsidR="5F902880" w:rsidRPr="005F3C3C">
        <w:t>(</w:t>
      </w:r>
      <w:r w:rsidR="00B40D7B" w:rsidRPr="005F3C3C">
        <w:t>5</w:t>
      </w:r>
      <w:r w:rsidR="5F902880" w:rsidRPr="005F3C3C">
        <w:t>%)</w:t>
      </w:r>
      <w:r w:rsidR="1F677449" w:rsidRPr="005F3C3C">
        <w:t xml:space="preserve">, borrowing </w:t>
      </w:r>
      <w:r w:rsidR="3CF6A448" w:rsidRPr="005F3C3C">
        <w:t>£</w:t>
      </w:r>
      <w:r w:rsidR="6BE183B4" w:rsidRPr="005F3C3C">
        <w:t>1</w:t>
      </w:r>
      <w:r w:rsidR="00BE63EB" w:rsidRPr="005F3C3C">
        <w:t>00</w:t>
      </w:r>
      <w:r w:rsidR="3CF6A448" w:rsidRPr="005F3C3C">
        <w:t xml:space="preserve"> million </w:t>
      </w:r>
      <w:r w:rsidR="1F677449" w:rsidRPr="005F3C3C">
        <w:t>(</w:t>
      </w:r>
      <w:r w:rsidR="00270922" w:rsidRPr="005F3C3C">
        <w:t>68</w:t>
      </w:r>
      <w:r w:rsidR="1F677449" w:rsidRPr="005F3C3C">
        <w:t>%)</w:t>
      </w:r>
      <w:r w:rsidR="47C5B1B0" w:rsidRPr="005F3C3C">
        <w:t xml:space="preserve"> </w:t>
      </w:r>
      <w:r w:rsidR="44844F85" w:rsidRPr="005F3C3C">
        <w:t xml:space="preserve">Government Grants </w:t>
      </w:r>
      <w:r w:rsidR="3CF6A448" w:rsidRPr="005F3C3C">
        <w:t>£</w:t>
      </w:r>
      <w:r w:rsidR="0035370F" w:rsidRPr="005F3C3C">
        <w:t>11</w:t>
      </w:r>
      <w:r w:rsidR="3CF6A448" w:rsidRPr="005F3C3C">
        <w:t xml:space="preserve"> million </w:t>
      </w:r>
      <w:r w:rsidR="44844F85" w:rsidRPr="005F3C3C">
        <w:t>(</w:t>
      </w:r>
      <w:r w:rsidR="00270922" w:rsidRPr="005F3C3C">
        <w:t>8</w:t>
      </w:r>
      <w:r w:rsidR="44844F85" w:rsidRPr="005F3C3C">
        <w:t>%)</w:t>
      </w:r>
      <w:r w:rsidR="00BE63EB" w:rsidRPr="005F3C3C">
        <w:t xml:space="preserve">, capital receipts </w:t>
      </w:r>
      <w:r w:rsidR="006801EA" w:rsidRPr="005F3C3C">
        <w:t>£27m (</w:t>
      </w:r>
      <w:r w:rsidR="00270922" w:rsidRPr="005F3C3C">
        <w:t>19%</w:t>
      </w:r>
      <w:r w:rsidR="006801EA" w:rsidRPr="005F3C3C">
        <w:t xml:space="preserve">) </w:t>
      </w:r>
      <w:r w:rsidR="44844F85" w:rsidRPr="005F3C3C">
        <w:t xml:space="preserve">All revenue costs have been included in the General Fund revenue budget. </w:t>
      </w:r>
    </w:p>
    <w:p w14:paraId="39334687" w14:textId="77777777" w:rsidR="00F34E29" w:rsidRPr="00572DC5" w:rsidRDefault="00F34E29" w:rsidP="00BE5927">
      <w:pPr>
        <w:pStyle w:val="Default"/>
        <w:ind w:left="567" w:right="386" w:hanging="567"/>
        <w:rPr>
          <w:highlight w:val="yellow"/>
        </w:rPr>
      </w:pPr>
    </w:p>
    <w:p w14:paraId="7F257C49" w14:textId="6E5D9E22" w:rsidR="00852272" w:rsidRPr="00572DC5" w:rsidRDefault="00852272" w:rsidP="00BE5927">
      <w:pPr>
        <w:pStyle w:val="Default"/>
        <w:ind w:left="567" w:right="386" w:hanging="567"/>
        <w:rPr>
          <w:b/>
          <w:color w:val="auto"/>
        </w:rPr>
      </w:pPr>
      <w:r w:rsidRPr="6324E0BC">
        <w:rPr>
          <w:b/>
          <w:color w:val="auto"/>
        </w:rPr>
        <w:t xml:space="preserve">Housing Revenue Account Capital </w:t>
      </w:r>
      <w:r w:rsidR="008009B9" w:rsidRPr="6324E0BC">
        <w:rPr>
          <w:b/>
          <w:color w:val="auto"/>
        </w:rPr>
        <w:t>Program</w:t>
      </w:r>
    </w:p>
    <w:p w14:paraId="5C1DF527" w14:textId="77777777" w:rsidR="008910A2" w:rsidRPr="00572DC5" w:rsidRDefault="008910A2" w:rsidP="00BE5927">
      <w:pPr>
        <w:pStyle w:val="Default"/>
        <w:ind w:left="567" w:right="386" w:hanging="567"/>
        <w:rPr>
          <w:b/>
          <w:color w:val="auto"/>
        </w:rPr>
      </w:pPr>
    </w:p>
    <w:p w14:paraId="35892968" w14:textId="1CE18302" w:rsidR="005F6232" w:rsidRPr="00572DC5" w:rsidRDefault="00852272" w:rsidP="00B31981">
      <w:pPr>
        <w:pStyle w:val="Default"/>
        <w:numPr>
          <w:ilvl w:val="0"/>
          <w:numId w:val="53"/>
        </w:numPr>
        <w:ind w:left="426" w:right="386" w:hanging="568"/>
        <w:rPr>
          <w:color w:val="auto"/>
        </w:rPr>
      </w:pPr>
      <w:r w:rsidRPr="6324E0BC">
        <w:rPr>
          <w:color w:val="auto"/>
        </w:rPr>
        <w:t xml:space="preserve">The draft HRA Capital </w:t>
      </w:r>
      <w:r w:rsidR="008009B9" w:rsidRPr="6324E0BC">
        <w:rPr>
          <w:color w:val="auto"/>
        </w:rPr>
        <w:t>Program</w:t>
      </w:r>
      <w:r w:rsidRPr="6324E0BC">
        <w:rPr>
          <w:color w:val="auto"/>
        </w:rPr>
        <w:t xml:space="preserve"> </w:t>
      </w:r>
      <w:r w:rsidR="00AA5E8E" w:rsidRPr="6324E0BC">
        <w:rPr>
          <w:color w:val="auto"/>
        </w:rPr>
        <w:t xml:space="preserve">is </w:t>
      </w:r>
      <w:r w:rsidR="001C6317" w:rsidRPr="6324E0BC">
        <w:rPr>
          <w:color w:val="auto"/>
        </w:rPr>
        <w:t>intrinsically</w:t>
      </w:r>
      <w:r w:rsidR="00AA5E8E" w:rsidRPr="6324E0BC">
        <w:rPr>
          <w:color w:val="auto"/>
        </w:rPr>
        <w:t xml:space="preserve"> linked to the </w:t>
      </w:r>
      <w:r w:rsidR="000F525A" w:rsidRPr="6324E0BC">
        <w:rPr>
          <w:color w:val="auto"/>
        </w:rPr>
        <w:t>HRA</w:t>
      </w:r>
      <w:r w:rsidR="00AA5E8E" w:rsidRPr="6324E0BC">
        <w:rPr>
          <w:color w:val="auto"/>
        </w:rPr>
        <w:t xml:space="preserve"> </w:t>
      </w:r>
      <w:r w:rsidR="00E34F9A" w:rsidRPr="6324E0BC">
        <w:rPr>
          <w:color w:val="auto"/>
        </w:rPr>
        <w:t>B</w:t>
      </w:r>
      <w:r w:rsidR="00AA5E8E" w:rsidRPr="6324E0BC">
        <w:rPr>
          <w:color w:val="auto"/>
        </w:rPr>
        <w:t xml:space="preserve">usiness </w:t>
      </w:r>
      <w:r w:rsidR="0048458E" w:rsidRPr="6324E0BC">
        <w:rPr>
          <w:color w:val="auto"/>
        </w:rPr>
        <w:t>P</w:t>
      </w:r>
      <w:r w:rsidR="00AA5E8E" w:rsidRPr="6324E0BC">
        <w:rPr>
          <w:color w:val="auto"/>
        </w:rPr>
        <w:t>lan</w:t>
      </w:r>
      <w:r w:rsidR="000F525A" w:rsidRPr="6324E0BC">
        <w:rPr>
          <w:color w:val="auto"/>
        </w:rPr>
        <w:t xml:space="preserve"> since the resources to fund the </w:t>
      </w:r>
      <w:r w:rsidR="000A731F" w:rsidRPr="6324E0BC">
        <w:rPr>
          <w:color w:val="auto"/>
          <w:lang w:val="en-GB"/>
        </w:rPr>
        <w:t xml:space="preserve">Programme </w:t>
      </w:r>
      <w:r w:rsidR="000F525A" w:rsidRPr="6324E0BC">
        <w:rPr>
          <w:color w:val="auto"/>
        </w:rPr>
        <w:t xml:space="preserve">are largely generated through </w:t>
      </w:r>
      <w:r w:rsidR="00614D4F" w:rsidRPr="6324E0BC">
        <w:rPr>
          <w:color w:val="auto"/>
        </w:rPr>
        <w:t>housing rents</w:t>
      </w:r>
      <w:r w:rsidR="00AA5E8E" w:rsidRPr="6324E0BC">
        <w:rPr>
          <w:color w:val="auto"/>
        </w:rPr>
        <w:t>.</w:t>
      </w:r>
      <w:r w:rsidR="00614D4F" w:rsidRPr="6324E0BC">
        <w:rPr>
          <w:color w:val="auto"/>
        </w:rPr>
        <w:t xml:space="preserve"> </w:t>
      </w:r>
      <w:r w:rsidR="00B7563C" w:rsidRPr="6324E0BC">
        <w:rPr>
          <w:color w:val="auto"/>
        </w:rPr>
        <w:t xml:space="preserve">Appendix 6 shows the existing HRA capital </w:t>
      </w:r>
      <w:r w:rsidR="008009B9" w:rsidRPr="6324E0BC">
        <w:rPr>
          <w:color w:val="auto"/>
        </w:rPr>
        <w:t>program</w:t>
      </w:r>
      <w:r w:rsidR="00BD3441" w:rsidRPr="6324E0BC">
        <w:rPr>
          <w:color w:val="auto"/>
        </w:rPr>
        <w:t xml:space="preserve"> over the next </w:t>
      </w:r>
      <w:r w:rsidR="00BD3441" w:rsidRPr="1DE68C26">
        <w:rPr>
          <w:color w:val="auto"/>
        </w:rPr>
        <w:t>f</w:t>
      </w:r>
      <w:r w:rsidR="5BED969A" w:rsidRPr="1DE68C26">
        <w:rPr>
          <w:color w:val="auto"/>
        </w:rPr>
        <w:t>our</w:t>
      </w:r>
      <w:r w:rsidR="002E64F2" w:rsidRPr="6324E0BC">
        <w:rPr>
          <w:color w:val="auto"/>
        </w:rPr>
        <w:t xml:space="preserve"> </w:t>
      </w:r>
      <w:r w:rsidR="00B7563C" w:rsidRPr="6324E0BC">
        <w:rPr>
          <w:color w:val="auto"/>
        </w:rPr>
        <w:t xml:space="preserve">years </w:t>
      </w:r>
      <w:r w:rsidR="00DE3C95" w:rsidRPr="6324E0BC">
        <w:rPr>
          <w:color w:val="auto"/>
        </w:rPr>
        <w:t>totaling</w:t>
      </w:r>
      <w:r w:rsidR="00B7563C" w:rsidRPr="6324E0BC">
        <w:rPr>
          <w:color w:val="auto"/>
        </w:rPr>
        <w:t xml:space="preserve"> £</w:t>
      </w:r>
      <w:r w:rsidR="00002554">
        <w:rPr>
          <w:color w:val="auto"/>
        </w:rPr>
        <w:t>578</w:t>
      </w:r>
      <w:r w:rsidR="00B7563C" w:rsidRPr="6324E0BC">
        <w:rPr>
          <w:color w:val="auto"/>
        </w:rPr>
        <w:t xml:space="preserve"> million</w:t>
      </w:r>
      <w:r w:rsidR="002E64F2" w:rsidRPr="6324E0BC">
        <w:rPr>
          <w:color w:val="auto"/>
        </w:rPr>
        <w:t xml:space="preserve"> </w:t>
      </w:r>
      <w:r w:rsidR="6E46E63F" w:rsidRPr="6324E0BC">
        <w:rPr>
          <w:color w:val="auto"/>
        </w:rPr>
        <w:t>before</w:t>
      </w:r>
      <w:r w:rsidR="002E64F2" w:rsidRPr="6324E0BC">
        <w:rPr>
          <w:color w:val="auto"/>
        </w:rPr>
        <w:t xml:space="preserve"> the application of optimism bias</w:t>
      </w:r>
      <w:r w:rsidR="00146E4C">
        <w:rPr>
          <w:color w:val="auto"/>
        </w:rPr>
        <w:t xml:space="preserve"> which reduces the programme to £527million</w:t>
      </w:r>
      <w:r w:rsidR="002E64F2" w:rsidRPr="6324E0BC">
        <w:rPr>
          <w:color w:val="auto"/>
        </w:rPr>
        <w:t>.</w:t>
      </w:r>
    </w:p>
    <w:p w14:paraId="47E2D4D0" w14:textId="77777777" w:rsidR="000C0570" w:rsidRPr="00572DC5" w:rsidRDefault="000C0570" w:rsidP="00104315">
      <w:pPr>
        <w:pStyle w:val="Default"/>
        <w:ind w:left="709" w:right="386" w:hanging="709"/>
        <w:rPr>
          <w:color w:val="auto"/>
        </w:rPr>
      </w:pPr>
    </w:p>
    <w:p w14:paraId="07D7251D" w14:textId="1727E5AC" w:rsidR="00BA5587" w:rsidRPr="00572DC5" w:rsidRDefault="000C0570" w:rsidP="00B31981">
      <w:pPr>
        <w:pStyle w:val="Default"/>
        <w:numPr>
          <w:ilvl w:val="0"/>
          <w:numId w:val="53"/>
        </w:numPr>
        <w:ind w:left="426" w:right="386" w:hanging="568"/>
        <w:rPr>
          <w:color w:val="auto"/>
        </w:rPr>
      </w:pPr>
      <w:r w:rsidRPr="4D53F322">
        <w:rPr>
          <w:color w:val="auto"/>
        </w:rPr>
        <w:t xml:space="preserve">The draft </w:t>
      </w:r>
      <w:r w:rsidR="00A160AD" w:rsidRPr="4D53F322">
        <w:rPr>
          <w:color w:val="auto"/>
        </w:rPr>
        <w:t xml:space="preserve">HRA Capital </w:t>
      </w:r>
      <w:r w:rsidR="008009B9" w:rsidRPr="4D53F322">
        <w:rPr>
          <w:color w:val="auto"/>
        </w:rPr>
        <w:t>Program</w:t>
      </w:r>
      <w:r w:rsidR="00A160AD" w:rsidRPr="4D53F322">
        <w:rPr>
          <w:color w:val="auto"/>
        </w:rPr>
        <w:t xml:space="preserve"> can</w:t>
      </w:r>
      <w:r w:rsidR="00452D71" w:rsidRPr="4D53F322">
        <w:rPr>
          <w:color w:val="auto"/>
        </w:rPr>
        <w:t>,</w:t>
      </w:r>
      <w:r w:rsidR="00A160AD" w:rsidRPr="4D53F322">
        <w:rPr>
          <w:color w:val="auto"/>
        </w:rPr>
        <w:t xml:space="preserve"> </w:t>
      </w:r>
      <w:r w:rsidR="00CA39D2" w:rsidRPr="4D53F322">
        <w:rPr>
          <w:color w:val="auto"/>
        </w:rPr>
        <w:t>for the most part</w:t>
      </w:r>
      <w:r w:rsidR="00452D71" w:rsidRPr="4D53F322">
        <w:rPr>
          <w:color w:val="auto"/>
        </w:rPr>
        <w:t>,</w:t>
      </w:r>
      <w:r w:rsidR="00CA39D2" w:rsidRPr="4D53F322">
        <w:rPr>
          <w:color w:val="auto"/>
        </w:rPr>
        <w:t xml:space="preserve"> be </w:t>
      </w:r>
      <w:r w:rsidR="008009B9" w:rsidRPr="4D53F322">
        <w:rPr>
          <w:color w:val="auto"/>
        </w:rPr>
        <w:t>categorized</w:t>
      </w:r>
      <w:r w:rsidR="00CA39D2" w:rsidRPr="4D53F322">
        <w:rPr>
          <w:color w:val="auto"/>
        </w:rPr>
        <w:t xml:space="preserve"> as follows</w:t>
      </w:r>
      <w:r w:rsidR="007D12A6" w:rsidRPr="4D53F322">
        <w:rPr>
          <w:color w:val="auto"/>
        </w:rPr>
        <w:t>:</w:t>
      </w:r>
    </w:p>
    <w:p w14:paraId="5F7C9984" w14:textId="4A741570" w:rsidR="007D12A6" w:rsidRPr="00572DC5" w:rsidRDefault="007D12A6" w:rsidP="00093D55">
      <w:pPr>
        <w:pStyle w:val="Default"/>
        <w:numPr>
          <w:ilvl w:val="1"/>
          <w:numId w:val="1"/>
        </w:numPr>
        <w:ind w:left="1560" w:right="386" w:hanging="426"/>
        <w:rPr>
          <w:color w:val="auto"/>
        </w:rPr>
      </w:pPr>
      <w:r w:rsidRPr="4D53F322">
        <w:rPr>
          <w:color w:val="auto"/>
        </w:rPr>
        <w:t xml:space="preserve">Investment in existing housing stock – Planned </w:t>
      </w:r>
      <w:r w:rsidR="00CA39D2" w:rsidRPr="4D53F322">
        <w:rPr>
          <w:color w:val="auto"/>
        </w:rPr>
        <w:t>Maintenance</w:t>
      </w:r>
    </w:p>
    <w:p w14:paraId="368300E4" w14:textId="5E3CAC99" w:rsidR="00E046E2" w:rsidRPr="00572DC5" w:rsidRDefault="000C02A5" w:rsidP="00093D55">
      <w:pPr>
        <w:pStyle w:val="Default"/>
        <w:numPr>
          <w:ilvl w:val="1"/>
          <w:numId w:val="1"/>
        </w:numPr>
        <w:ind w:left="1560" w:right="386" w:hanging="426"/>
        <w:rPr>
          <w:color w:val="auto"/>
        </w:rPr>
      </w:pPr>
      <w:r w:rsidRPr="4D53F322">
        <w:rPr>
          <w:color w:val="auto"/>
        </w:rPr>
        <w:t xml:space="preserve">Social Housing </w:t>
      </w:r>
      <w:r w:rsidR="00452D71" w:rsidRPr="4D53F322">
        <w:rPr>
          <w:color w:val="auto"/>
        </w:rPr>
        <w:t xml:space="preserve">Acquisition and </w:t>
      </w:r>
      <w:r w:rsidRPr="4D53F322">
        <w:rPr>
          <w:color w:val="auto"/>
        </w:rPr>
        <w:t>Development</w:t>
      </w:r>
      <w:r w:rsidR="005A7318" w:rsidRPr="4D53F322">
        <w:rPr>
          <w:color w:val="auto"/>
        </w:rPr>
        <w:t xml:space="preserve"> </w:t>
      </w:r>
      <w:r w:rsidR="008009B9" w:rsidRPr="4D53F322">
        <w:rPr>
          <w:color w:val="auto"/>
        </w:rPr>
        <w:t>Program</w:t>
      </w:r>
      <w:r w:rsidR="00081C7F" w:rsidRPr="4D53F322">
        <w:rPr>
          <w:color w:val="auto"/>
        </w:rPr>
        <w:t xml:space="preserve"> – new homes</w:t>
      </w:r>
      <w:r w:rsidR="00875869" w:rsidRPr="4D53F322">
        <w:rPr>
          <w:color w:val="auto"/>
        </w:rPr>
        <w:t>. In total this is shown as £</w:t>
      </w:r>
      <w:r w:rsidR="001B5497">
        <w:rPr>
          <w:color w:val="auto"/>
        </w:rPr>
        <w:t>390</w:t>
      </w:r>
      <w:r w:rsidR="00875869" w:rsidRPr="4D53F322">
        <w:rPr>
          <w:color w:val="auto"/>
        </w:rPr>
        <w:t xml:space="preserve"> million over the </w:t>
      </w:r>
      <w:r w:rsidR="7E7F4CE6" w:rsidRPr="74B12C6A">
        <w:rPr>
          <w:color w:val="auto"/>
        </w:rPr>
        <w:t>4</w:t>
      </w:r>
      <w:r w:rsidR="449203D0" w:rsidRPr="4D53F322">
        <w:rPr>
          <w:color w:val="auto"/>
        </w:rPr>
        <w:t>-</w:t>
      </w:r>
      <w:r w:rsidR="00875869" w:rsidRPr="4D53F322">
        <w:rPr>
          <w:color w:val="auto"/>
        </w:rPr>
        <w:t xml:space="preserve">year period </w:t>
      </w:r>
      <w:r w:rsidR="769ADD3F" w:rsidRPr="4D53F322">
        <w:rPr>
          <w:color w:val="auto"/>
        </w:rPr>
        <w:t>2026/27</w:t>
      </w:r>
      <w:r w:rsidR="00875869" w:rsidRPr="4D53F322">
        <w:rPr>
          <w:color w:val="auto"/>
        </w:rPr>
        <w:t xml:space="preserve"> </w:t>
      </w:r>
      <w:r w:rsidR="769ADD3F" w:rsidRPr="4D53F322">
        <w:rPr>
          <w:color w:val="auto"/>
        </w:rPr>
        <w:t>to</w:t>
      </w:r>
      <w:r w:rsidR="00875869" w:rsidRPr="4D53F322">
        <w:rPr>
          <w:color w:val="auto"/>
        </w:rPr>
        <w:t xml:space="preserve"> </w:t>
      </w:r>
      <w:r w:rsidR="769ADD3F" w:rsidRPr="02D7CED1">
        <w:rPr>
          <w:color w:val="auto"/>
        </w:rPr>
        <w:t>20</w:t>
      </w:r>
      <w:r w:rsidR="6D668270" w:rsidRPr="02D7CED1">
        <w:rPr>
          <w:color w:val="auto"/>
        </w:rPr>
        <w:t>29/</w:t>
      </w:r>
      <w:r w:rsidR="769ADD3F" w:rsidRPr="6B4F5D60">
        <w:rPr>
          <w:color w:val="auto"/>
        </w:rPr>
        <w:t>30</w:t>
      </w:r>
      <w:r w:rsidR="00875869" w:rsidRPr="4D53F322">
        <w:rPr>
          <w:color w:val="auto"/>
        </w:rPr>
        <w:t xml:space="preserve"> with around £</w:t>
      </w:r>
      <w:r w:rsidR="001B5497">
        <w:rPr>
          <w:color w:val="auto"/>
        </w:rPr>
        <w:t>180</w:t>
      </w:r>
      <w:r w:rsidR="00875869" w:rsidRPr="4D53F322">
        <w:rPr>
          <w:color w:val="auto"/>
        </w:rPr>
        <w:t xml:space="preserve"> million being delivered by Oxplace and </w:t>
      </w:r>
      <w:r w:rsidR="7359D82F" w:rsidRPr="4D53F322">
        <w:rPr>
          <w:color w:val="auto"/>
        </w:rPr>
        <w:t>£</w:t>
      </w:r>
      <w:r w:rsidR="00105F0F">
        <w:rPr>
          <w:color w:val="auto"/>
        </w:rPr>
        <w:t>210</w:t>
      </w:r>
      <w:r w:rsidR="7359D82F" w:rsidRPr="4D53F322">
        <w:rPr>
          <w:color w:val="auto"/>
        </w:rPr>
        <w:t xml:space="preserve"> million </w:t>
      </w:r>
      <w:r w:rsidR="00875869" w:rsidRPr="4D53F322">
        <w:rPr>
          <w:color w:val="auto"/>
        </w:rPr>
        <w:t xml:space="preserve">via direct delivery through the HRA. Specific details of schemes being delivered by Oxplace are shown in the exempt from publication Appendix 10  </w:t>
      </w:r>
    </w:p>
    <w:p w14:paraId="3D79D144" w14:textId="77777777" w:rsidR="005C65D5" w:rsidRPr="00572DC5" w:rsidRDefault="005C65D5" w:rsidP="00104315">
      <w:pPr>
        <w:pStyle w:val="Default"/>
        <w:ind w:left="1560" w:right="386" w:hanging="426"/>
        <w:rPr>
          <w:color w:val="auto"/>
        </w:rPr>
      </w:pPr>
    </w:p>
    <w:p w14:paraId="0C460825" w14:textId="3C273694" w:rsidR="00A03AAD" w:rsidRPr="00572DC5" w:rsidRDefault="6FE12FB9" w:rsidP="00B31981">
      <w:pPr>
        <w:pStyle w:val="Default"/>
        <w:numPr>
          <w:ilvl w:val="0"/>
          <w:numId w:val="53"/>
        </w:numPr>
        <w:ind w:left="426" w:right="386" w:hanging="568"/>
        <w:rPr>
          <w:color w:val="auto"/>
        </w:rPr>
      </w:pPr>
      <w:r w:rsidRPr="475D94D5">
        <w:rPr>
          <w:color w:val="auto"/>
        </w:rPr>
        <w:t>The</w:t>
      </w:r>
      <w:r w:rsidR="538F770B" w:rsidRPr="49111552">
        <w:rPr>
          <w:color w:val="auto"/>
        </w:rPr>
        <w:t xml:space="preserve"> 5</w:t>
      </w:r>
      <w:r w:rsidR="5E2C7950" w:rsidRPr="49111552">
        <w:rPr>
          <w:color w:val="auto"/>
        </w:rPr>
        <w:t>-</w:t>
      </w:r>
      <w:r w:rsidR="538F770B" w:rsidRPr="49111552">
        <w:rPr>
          <w:color w:val="auto"/>
        </w:rPr>
        <w:t xml:space="preserve">year investment </w:t>
      </w:r>
      <w:r w:rsidR="008009B9" w:rsidRPr="49111552">
        <w:rPr>
          <w:color w:val="auto"/>
        </w:rPr>
        <w:t>program</w:t>
      </w:r>
      <w:r w:rsidR="538F770B" w:rsidRPr="49111552">
        <w:rPr>
          <w:color w:val="auto"/>
        </w:rPr>
        <w:t xml:space="preserve"> plan</w:t>
      </w:r>
      <w:r w:rsidR="00081C7F" w:rsidRPr="49111552">
        <w:rPr>
          <w:color w:val="auto"/>
        </w:rPr>
        <w:t xml:space="preserve"> for our existing housing stock</w:t>
      </w:r>
      <w:r w:rsidR="538F770B" w:rsidRPr="49111552">
        <w:rPr>
          <w:color w:val="auto"/>
        </w:rPr>
        <w:t xml:space="preserve"> has been developed on the basis of </w:t>
      </w:r>
      <w:r w:rsidR="49DB66D5" w:rsidRPr="49111552">
        <w:rPr>
          <w:color w:val="auto"/>
        </w:rPr>
        <w:t xml:space="preserve">the latest stock condition </w:t>
      </w:r>
      <w:r w:rsidR="07D689CB" w:rsidRPr="038CF535">
        <w:rPr>
          <w:color w:val="auto"/>
        </w:rPr>
        <w:t>surveys</w:t>
      </w:r>
      <w:r w:rsidR="49DB66D5" w:rsidRPr="49111552">
        <w:rPr>
          <w:color w:val="auto"/>
        </w:rPr>
        <w:t xml:space="preserve"> </w:t>
      </w:r>
      <w:r w:rsidR="25D983AF" w:rsidRPr="220B1697">
        <w:rPr>
          <w:color w:val="auto"/>
        </w:rPr>
        <w:t>(</w:t>
      </w:r>
      <w:r w:rsidR="25D983AF" w:rsidRPr="59D7E2D1">
        <w:rPr>
          <w:color w:val="auto"/>
        </w:rPr>
        <w:t xml:space="preserve">over </w:t>
      </w:r>
      <w:r w:rsidR="62E10D56" w:rsidRPr="75022387">
        <w:rPr>
          <w:color w:val="auto"/>
        </w:rPr>
        <w:t>85%</w:t>
      </w:r>
      <w:r w:rsidR="62E10D56" w:rsidRPr="58C58BF9">
        <w:rPr>
          <w:color w:val="auto"/>
        </w:rPr>
        <w:t xml:space="preserve"> of council </w:t>
      </w:r>
      <w:r w:rsidR="62E10D56" w:rsidRPr="50C5BB0F">
        <w:rPr>
          <w:color w:val="auto"/>
        </w:rPr>
        <w:t>homes</w:t>
      </w:r>
      <w:r w:rsidR="0DBCED64" w:rsidRPr="371DBC78">
        <w:rPr>
          <w:color w:val="auto"/>
        </w:rPr>
        <w:t xml:space="preserve"> </w:t>
      </w:r>
      <w:r w:rsidR="0DBCED64" w:rsidRPr="56E352C2">
        <w:rPr>
          <w:color w:val="auto"/>
        </w:rPr>
        <w:t xml:space="preserve">had been </w:t>
      </w:r>
      <w:r w:rsidR="0DBCED64" w:rsidRPr="1B68298F">
        <w:rPr>
          <w:color w:val="auto"/>
        </w:rPr>
        <w:t>surveyed</w:t>
      </w:r>
      <w:r w:rsidR="2FC486F3" w:rsidRPr="44A712DF">
        <w:rPr>
          <w:color w:val="auto"/>
        </w:rPr>
        <w:t>,</w:t>
      </w:r>
      <w:r w:rsidR="0DBCED64" w:rsidRPr="1B68298F">
        <w:rPr>
          <w:color w:val="auto"/>
        </w:rPr>
        <w:t xml:space="preserve"> </w:t>
      </w:r>
      <w:r w:rsidR="2FC486F3" w:rsidRPr="4C8297BF">
        <w:rPr>
          <w:color w:val="auto"/>
        </w:rPr>
        <w:t>the remaining</w:t>
      </w:r>
      <w:r w:rsidR="0DBCED64" w:rsidRPr="4C8297BF">
        <w:rPr>
          <w:color w:val="auto"/>
        </w:rPr>
        <w:t xml:space="preserve"> </w:t>
      </w:r>
      <w:r w:rsidR="2FC486F3" w:rsidRPr="1C73D7E9">
        <w:rPr>
          <w:color w:val="auto"/>
        </w:rPr>
        <w:t xml:space="preserve">1140 </w:t>
      </w:r>
      <w:r w:rsidR="2FC486F3" w:rsidRPr="68BF9910">
        <w:rPr>
          <w:color w:val="auto"/>
        </w:rPr>
        <w:t xml:space="preserve">homes </w:t>
      </w:r>
      <w:r w:rsidR="2FC486F3" w:rsidRPr="37DBEFAE">
        <w:rPr>
          <w:color w:val="auto"/>
        </w:rPr>
        <w:t>had no access</w:t>
      </w:r>
      <w:r w:rsidR="0DBCED64" w:rsidRPr="4A10077F">
        <w:rPr>
          <w:color w:val="auto"/>
        </w:rPr>
        <w:t xml:space="preserve"> </w:t>
      </w:r>
      <w:r w:rsidR="0DBCED64" w:rsidRPr="1B68298F">
        <w:rPr>
          <w:color w:val="auto"/>
        </w:rPr>
        <w:t xml:space="preserve">as at </w:t>
      </w:r>
      <w:r w:rsidR="0DBCED64" w:rsidRPr="3BC0769F">
        <w:rPr>
          <w:color w:val="auto"/>
        </w:rPr>
        <w:t xml:space="preserve">the end of </w:t>
      </w:r>
      <w:r w:rsidR="0098C1B2" w:rsidRPr="54EB4BE3">
        <w:rPr>
          <w:color w:val="auto"/>
        </w:rPr>
        <w:t>September</w:t>
      </w:r>
      <w:r w:rsidR="0DBCED64" w:rsidRPr="20569420">
        <w:rPr>
          <w:color w:val="auto"/>
        </w:rPr>
        <w:t xml:space="preserve"> 2025</w:t>
      </w:r>
      <w:r w:rsidR="0DBCED64" w:rsidRPr="0FEEE237">
        <w:rPr>
          <w:color w:val="auto"/>
        </w:rPr>
        <w:t xml:space="preserve"> </w:t>
      </w:r>
      <w:r w:rsidR="4EEDC8CB" w:rsidRPr="70B071F4">
        <w:rPr>
          <w:color w:val="auto"/>
        </w:rPr>
        <w:t xml:space="preserve">and </w:t>
      </w:r>
      <w:r w:rsidR="0DBCED64" w:rsidRPr="0E87B545">
        <w:rPr>
          <w:color w:val="auto"/>
        </w:rPr>
        <w:t>the</w:t>
      </w:r>
      <w:r w:rsidR="7466C9A0" w:rsidRPr="0E87B545">
        <w:rPr>
          <w:color w:val="auto"/>
        </w:rPr>
        <w:t>se</w:t>
      </w:r>
      <w:r w:rsidR="0DBCED64" w:rsidRPr="6B07E848">
        <w:rPr>
          <w:color w:val="auto"/>
        </w:rPr>
        <w:t xml:space="preserve"> </w:t>
      </w:r>
      <w:r w:rsidR="0DBCED64" w:rsidRPr="730173F7">
        <w:rPr>
          <w:color w:val="auto"/>
        </w:rPr>
        <w:t xml:space="preserve">remaining </w:t>
      </w:r>
      <w:r w:rsidR="0DBCED64" w:rsidRPr="375217F0">
        <w:rPr>
          <w:color w:val="auto"/>
        </w:rPr>
        <w:t xml:space="preserve">surveys </w:t>
      </w:r>
      <w:r w:rsidR="2FC2E78D" w:rsidRPr="2082476C">
        <w:rPr>
          <w:color w:val="auto"/>
        </w:rPr>
        <w:t>will</w:t>
      </w:r>
      <w:r w:rsidR="5ACA6EE0" w:rsidRPr="6E8F2C3A">
        <w:rPr>
          <w:color w:val="auto"/>
        </w:rPr>
        <w:t xml:space="preserve"> be </w:t>
      </w:r>
      <w:r w:rsidR="5ACA6EE0" w:rsidRPr="61697F3E">
        <w:rPr>
          <w:color w:val="auto"/>
        </w:rPr>
        <w:t xml:space="preserve">undertaken by an external </w:t>
      </w:r>
      <w:r w:rsidR="5ACA6EE0" w:rsidRPr="1675F8EC">
        <w:rPr>
          <w:color w:val="auto"/>
        </w:rPr>
        <w:t>contractor</w:t>
      </w:r>
      <w:r w:rsidR="0266AC27" w:rsidRPr="59106DBE">
        <w:rPr>
          <w:color w:val="auto"/>
        </w:rPr>
        <w:t xml:space="preserve"> </w:t>
      </w:r>
      <w:r w:rsidR="0266AC27" w:rsidRPr="22276C17">
        <w:rPr>
          <w:color w:val="auto"/>
        </w:rPr>
        <w:t xml:space="preserve">by </w:t>
      </w:r>
      <w:r w:rsidR="0266AC27" w:rsidRPr="13AC52FD">
        <w:rPr>
          <w:color w:val="auto"/>
        </w:rPr>
        <w:t xml:space="preserve">the end of </w:t>
      </w:r>
      <w:r w:rsidR="6F1FBBAE" w:rsidRPr="06B2C871">
        <w:rPr>
          <w:color w:val="auto"/>
        </w:rPr>
        <w:t>March</w:t>
      </w:r>
      <w:r w:rsidR="0266AC27" w:rsidRPr="22276C17">
        <w:rPr>
          <w:color w:val="auto"/>
        </w:rPr>
        <w:t xml:space="preserve"> </w:t>
      </w:r>
      <w:r w:rsidR="0266AC27" w:rsidRPr="71FC5DE3">
        <w:rPr>
          <w:color w:val="auto"/>
        </w:rPr>
        <w:t>2026</w:t>
      </w:r>
      <w:r w:rsidR="06435292" w:rsidRPr="1A0C74F0">
        <w:rPr>
          <w:color w:val="auto"/>
        </w:rPr>
        <w:t>)</w:t>
      </w:r>
      <w:r w:rsidR="48D01510" w:rsidRPr="1A0C74F0">
        <w:rPr>
          <w:color w:val="auto"/>
        </w:rPr>
        <w:t xml:space="preserve">. </w:t>
      </w:r>
      <w:r w:rsidR="48D01510" w:rsidRPr="776789BB">
        <w:rPr>
          <w:color w:val="auto"/>
        </w:rPr>
        <w:t xml:space="preserve">In addition </w:t>
      </w:r>
      <w:r w:rsidR="53B21F80" w:rsidRPr="6F7DAC2C">
        <w:rPr>
          <w:color w:val="auto"/>
        </w:rPr>
        <w:t xml:space="preserve">to </w:t>
      </w:r>
      <w:r w:rsidR="48D01510" w:rsidRPr="6F7DAC2C">
        <w:rPr>
          <w:color w:val="auto"/>
        </w:rPr>
        <w:t>the</w:t>
      </w:r>
      <w:r w:rsidR="48D01510" w:rsidRPr="1A4F8C11">
        <w:rPr>
          <w:color w:val="auto"/>
        </w:rPr>
        <w:t xml:space="preserve"> stock </w:t>
      </w:r>
      <w:r w:rsidR="48D01510" w:rsidRPr="701F5EDF">
        <w:rPr>
          <w:color w:val="auto"/>
        </w:rPr>
        <w:t xml:space="preserve">condition </w:t>
      </w:r>
      <w:r w:rsidR="48D01510" w:rsidRPr="5FA9DC5B">
        <w:rPr>
          <w:color w:val="auto"/>
        </w:rPr>
        <w:t>reports</w:t>
      </w:r>
      <w:r w:rsidR="4DF1DC05" w:rsidRPr="26830C91">
        <w:rPr>
          <w:color w:val="auto"/>
        </w:rPr>
        <w:t xml:space="preserve">, </w:t>
      </w:r>
      <w:r w:rsidR="538F770B" w:rsidRPr="49111552">
        <w:rPr>
          <w:color w:val="auto"/>
        </w:rPr>
        <w:t xml:space="preserve">the </w:t>
      </w:r>
      <w:r w:rsidR="6A01E85E" w:rsidRPr="49111552">
        <w:rPr>
          <w:color w:val="auto"/>
        </w:rPr>
        <w:t>new Housing Regulation and Inspection regime</w:t>
      </w:r>
      <w:r w:rsidR="317EAAA0" w:rsidRPr="49111552">
        <w:rPr>
          <w:color w:val="auto"/>
        </w:rPr>
        <w:t>; the new Client Management arrangements</w:t>
      </w:r>
      <w:r w:rsidR="49DB66D5" w:rsidRPr="49111552">
        <w:rPr>
          <w:color w:val="auto"/>
        </w:rPr>
        <w:t xml:space="preserve">; </w:t>
      </w:r>
      <w:r w:rsidR="39D51574" w:rsidRPr="53F6E811">
        <w:rPr>
          <w:color w:val="auto"/>
        </w:rPr>
        <w:t xml:space="preserve">and </w:t>
      </w:r>
      <w:r w:rsidR="2867E1EC" w:rsidRPr="53F6E811">
        <w:rPr>
          <w:color w:val="auto"/>
        </w:rPr>
        <w:t>Revised</w:t>
      </w:r>
      <w:r w:rsidR="2867E1EC" w:rsidRPr="49111552">
        <w:rPr>
          <w:color w:val="auto"/>
        </w:rPr>
        <w:t xml:space="preserve"> Financial Arrangements</w:t>
      </w:r>
      <w:r w:rsidR="6CFB4CB2" w:rsidRPr="52FBB16E">
        <w:rPr>
          <w:color w:val="auto"/>
        </w:rPr>
        <w:t xml:space="preserve"> </w:t>
      </w:r>
      <w:r w:rsidR="6CFB4CB2" w:rsidRPr="779E1162">
        <w:rPr>
          <w:color w:val="auto"/>
        </w:rPr>
        <w:t xml:space="preserve">were </w:t>
      </w:r>
      <w:r w:rsidR="6CFB4CB2" w:rsidRPr="57F79C1C">
        <w:rPr>
          <w:color w:val="auto"/>
        </w:rPr>
        <w:t>also</w:t>
      </w:r>
      <w:r w:rsidR="6CFB4CB2" w:rsidRPr="779E1162">
        <w:rPr>
          <w:color w:val="auto"/>
        </w:rPr>
        <w:t xml:space="preserve"> </w:t>
      </w:r>
      <w:r w:rsidR="6CFB4CB2" w:rsidRPr="32C84DAD">
        <w:rPr>
          <w:color w:val="auto"/>
        </w:rPr>
        <w:t>considered</w:t>
      </w:r>
      <w:r w:rsidR="6DD836BC" w:rsidRPr="32C84DAD">
        <w:rPr>
          <w:color w:val="auto"/>
        </w:rPr>
        <w:t>.</w:t>
      </w:r>
    </w:p>
    <w:p w14:paraId="270282AC" w14:textId="77777777" w:rsidR="005B1339" w:rsidRPr="00572DC5" w:rsidRDefault="005B1339" w:rsidP="00104315">
      <w:pPr>
        <w:pStyle w:val="Default"/>
        <w:ind w:left="709" w:right="386" w:hanging="709"/>
        <w:rPr>
          <w:color w:val="auto"/>
          <w:highlight w:val="yellow"/>
        </w:rPr>
      </w:pPr>
    </w:p>
    <w:p w14:paraId="5D437D1E" w14:textId="245B4922" w:rsidR="00E61AF9" w:rsidRPr="00572DC5" w:rsidRDefault="0AEDDAF2" w:rsidP="00B31981">
      <w:pPr>
        <w:pStyle w:val="Default"/>
        <w:numPr>
          <w:ilvl w:val="0"/>
          <w:numId w:val="53"/>
        </w:numPr>
        <w:ind w:left="426" w:right="386" w:hanging="568"/>
        <w:rPr>
          <w:color w:val="auto"/>
        </w:rPr>
      </w:pPr>
      <w:r w:rsidRPr="1A678F1C">
        <w:rPr>
          <w:color w:val="auto"/>
        </w:rPr>
        <w:t>The</w:t>
      </w:r>
      <w:r w:rsidR="3A403CB9" w:rsidRPr="1A678F1C">
        <w:rPr>
          <w:color w:val="auto"/>
        </w:rPr>
        <w:t xml:space="preserve"> new</w:t>
      </w:r>
      <w:r w:rsidRPr="1A678F1C">
        <w:rPr>
          <w:color w:val="auto"/>
        </w:rPr>
        <w:t xml:space="preserve"> investment plan </w:t>
      </w:r>
      <w:r w:rsidR="4E5E7507" w:rsidRPr="1A678F1C">
        <w:rPr>
          <w:color w:val="auto"/>
        </w:rPr>
        <w:t xml:space="preserve">consists of </w:t>
      </w:r>
      <w:r w:rsidR="2E56E352" w:rsidRPr="1A678F1C">
        <w:rPr>
          <w:color w:val="auto"/>
        </w:rPr>
        <w:t xml:space="preserve">the following </w:t>
      </w:r>
      <w:r w:rsidR="4E5E7507" w:rsidRPr="1A678F1C">
        <w:rPr>
          <w:color w:val="auto"/>
        </w:rPr>
        <w:t>components</w:t>
      </w:r>
      <w:r w:rsidR="2E56E352" w:rsidRPr="1A678F1C">
        <w:rPr>
          <w:color w:val="auto"/>
        </w:rPr>
        <w:t xml:space="preserve">, all of which contain further </w:t>
      </w:r>
      <w:r w:rsidR="42E303E7" w:rsidRPr="1A678F1C">
        <w:rPr>
          <w:color w:val="auto"/>
        </w:rPr>
        <w:t xml:space="preserve">detailed </w:t>
      </w:r>
      <w:r w:rsidR="22E834FA" w:rsidRPr="1A678F1C">
        <w:rPr>
          <w:color w:val="auto"/>
        </w:rPr>
        <w:t>breakdown</w:t>
      </w:r>
      <w:r w:rsidR="0C62B791" w:rsidRPr="1A678F1C">
        <w:rPr>
          <w:color w:val="auto"/>
        </w:rPr>
        <w:t>s</w:t>
      </w:r>
      <w:r w:rsidR="22E834FA" w:rsidRPr="1A678F1C">
        <w:rPr>
          <w:color w:val="auto"/>
        </w:rPr>
        <w:t xml:space="preserve"> of projected costs:</w:t>
      </w:r>
    </w:p>
    <w:p w14:paraId="58AD176F" w14:textId="77777777" w:rsidR="00181BB5" w:rsidRPr="00572DC5" w:rsidRDefault="3A403CB9" w:rsidP="00093D55">
      <w:pPr>
        <w:pStyle w:val="Default"/>
        <w:numPr>
          <w:ilvl w:val="1"/>
          <w:numId w:val="1"/>
        </w:numPr>
        <w:ind w:left="709" w:right="386" w:firstLine="425"/>
        <w:rPr>
          <w:color w:val="auto"/>
        </w:rPr>
      </w:pPr>
      <w:r w:rsidRPr="1A678F1C">
        <w:rPr>
          <w:color w:val="auto"/>
        </w:rPr>
        <w:t>Safety &amp; Compliance Works</w:t>
      </w:r>
    </w:p>
    <w:p w14:paraId="0368EA80" w14:textId="77777777" w:rsidR="00181BB5" w:rsidRPr="00572DC5" w:rsidRDefault="3A403CB9" w:rsidP="00093D55">
      <w:pPr>
        <w:pStyle w:val="Default"/>
        <w:numPr>
          <w:ilvl w:val="1"/>
          <w:numId w:val="1"/>
        </w:numPr>
        <w:ind w:left="709" w:right="386" w:firstLine="425"/>
        <w:rPr>
          <w:color w:val="auto"/>
        </w:rPr>
      </w:pPr>
      <w:r w:rsidRPr="1A678F1C">
        <w:rPr>
          <w:color w:val="auto"/>
        </w:rPr>
        <w:t>Works to Street Properties</w:t>
      </w:r>
    </w:p>
    <w:p w14:paraId="6AF8D690" w14:textId="77777777" w:rsidR="00181BB5" w:rsidRPr="00572DC5" w:rsidRDefault="3A403CB9" w:rsidP="00093D55">
      <w:pPr>
        <w:pStyle w:val="Default"/>
        <w:numPr>
          <w:ilvl w:val="1"/>
          <w:numId w:val="1"/>
        </w:numPr>
        <w:ind w:left="709" w:right="386" w:firstLine="425"/>
        <w:rPr>
          <w:color w:val="auto"/>
        </w:rPr>
      </w:pPr>
      <w:r w:rsidRPr="1A678F1C">
        <w:rPr>
          <w:color w:val="auto"/>
        </w:rPr>
        <w:t>Works to Blocks &amp; Flats</w:t>
      </w:r>
    </w:p>
    <w:p w14:paraId="674C36A4" w14:textId="77777777" w:rsidR="00181BB5" w:rsidRPr="00572DC5" w:rsidRDefault="3A403CB9" w:rsidP="00093D55">
      <w:pPr>
        <w:pStyle w:val="Default"/>
        <w:numPr>
          <w:ilvl w:val="1"/>
          <w:numId w:val="1"/>
        </w:numPr>
        <w:ind w:left="709" w:right="386" w:firstLine="425"/>
        <w:rPr>
          <w:color w:val="auto"/>
        </w:rPr>
      </w:pPr>
      <w:r w:rsidRPr="1A678F1C">
        <w:rPr>
          <w:color w:val="auto"/>
        </w:rPr>
        <w:t>Other Priority Spend Areas</w:t>
      </w:r>
    </w:p>
    <w:p w14:paraId="71D913CE" w14:textId="77777777" w:rsidR="00181BB5" w:rsidRPr="00572DC5" w:rsidRDefault="3A403CB9" w:rsidP="00093D55">
      <w:pPr>
        <w:pStyle w:val="Default"/>
        <w:numPr>
          <w:ilvl w:val="1"/>
          <w:numId w:val="1"/>
        </w:numPr>
        <w:ind w:left="709" w:right="386" w:firstLine="425"/>
        <w:rPr>
          <w:color w:val="auto"/>
        </w:rPr>
      </w:pPr>
      <w:r w:rsidRPr="1A678F1C">
        <w:rPr>
          <w:color w:val="auto"/>
        </w:rPr>
        <w:t>Works to Energy Efficiency Targets</w:t>
      </w:r>
    </w:p>
    <w:p w14:paraId="69FE8349" w14:textId="3A38ACD0" w:rsidR="00A03AAD" w:rsidRPr="00572DC5" w:rsidRDefault="3A403CB9" w:rsidP="00093D55">
      <w:pPr>
        <w:pStyle w:val="Default"/>
        <w:numPr>
          <w:ilvl w:val="1"/>
          <w:numId w:val="1"/>
        </w:numPr>
        <w:ind w:left="709" w:right="386" w:firstLine="425"/>
        <w:rPr>
          <w:color w:val="auto"/>
        </w:rPr>
      </w:pPr>
      <w:r w:rsidRPr="1A678F1C">
        <w:rPr>
          <w:color w:val="auto"/>
        </w:rPr>
        <w:t>Capital Projects</w:t>
      </w:r>
    </w:p>
    <w:p w14:paraId="6569F18B" w14:textId="77777777" w:rsidR="00C575D8" w:rsidRPr="00572DC5" w:rsidRDefault="00C575D8" w:rsidP="00104315">
      <w:pPr>
        <w:pStyle w:val="Default"/>
        <w:ind w:left="709" w:right="386" w:hanging="709"/>
        <w:rPr>
          <w:color w:val="auto"/>
        </w:rPr>
      </w:pPr>
    </w:p>
    <w:p w14:paraId="54EDCBCF" w14:textId="77CAD5C0" w:rsidR="00E9361A" w:rsidRPr="00572DC5" w:rsidRDefault="16294F1B" w:rsidP="00851939">
      <w:pPr>
        <w:pStyle w:val="Default"/>
        <w:numPr>
          <w:ilvl w:val="0"/>
          <w:numId w:val="53"/>
        </w:numPr>
        <w:ind w:left="450" w:right="386" w:hanging="540"/>
        <w:rPr>
          <w:color w:val="auto"/>
        </w:rPr>
      </w:pPr>
      <w:r w:rsidRPr="3EA2A514">
        <w:rPr>
          <w:color w:val="auto"/>
        </w:rPr>
        <w:t>Th</w:t>
      </w:r>
      <w:r w:rsidR="005A7318" w:rsidRPr="3EA2A514">
        <w:rPr>
          <w:color w:val="auto"/>
        </w:rPr>
        <w:t>e</w:t>
      </w:r>
      <w:r w:rsidR="4BC4A0AC" w:rsidRPr="3EA2A514">
        <w:rPr>
          <w:color w:val="auto"/>
        </w:rPr>
        <w:t xml:space="preserve"> Social Housing Acquisition and Development </w:t>
      </w:r>
      <w:r w:rsidR="008009B9" w:rsidRPr="3EA2A514">
        <w:rPr>
          <w:color w:val="auto"/>
        </w:rPr>
        <w:t>Program</w:t>
      </w:r>
      <w:r w:rsidR="3FE5B52E" w:rsidRPr="3EA2A514">
        <w:rPr>
          <w:color w:val="auto"/>
        </w:rPr>
        <w:t xml:space="preserve"> has </w:t>
      </w:r>
      <w:r w:rsidR="131F4421" w:rsidRPr="3EA2A514">
        <w:rPr>
          <w:color w:val="auto"/>
        </w:rPr>
        <w:t xml:space="preserve">been amended </w:t>
      </w:r>
      <w:r w:rsidR="6E262D9C" w:rsidRPr="3EA2A514">
        <w:rPr>
          <w:color w:val="auto"/>
        </w:rPr>
        <w:t xml:space="preserve">to </w:t>
      </w:r>
      <w:r w:rsidR="131F4421" w:rsidRPr="3EA2A514">
        <w:rPr>
          <w:color w:val="auto"/>
        </w:rPr>
        <w:t xml:space="preserve">reflect the latest </w:t>
      </w:r>
      <w:r w:rsidR="0FE567C5" w:rsidRPr="3EA2A514">
        <w:rPr>
          <w:color w:val="auto"/>
        </w:rPr>
        <w:t xml:space="preserve">profiled </w:t>
      </w:r>
      <w:r w:rsidR="6CA2BA56" w:rsidRPr="3EA2A514">
        <w:rPr>
          <w:color w:val="auto"/>
        </w:rPr>
        <w:t xml:space="preserve">forecasts. </w:t>
      </w:r>
      <w:r w:rsidR="1083C91D" w:rsidRPr="3EA2A514">
        <w:rPr>
          <w:color w:val="auto"/>
        </w:rPr>
        <w:t xml:space="preserve">Some schemes have </w:t>
      </w:r>
      <w:r w:rsidR="2B8C3AB4" w:rsidRPr="3EA2A514">
        <w:rPr>
          <w:color w:val="auto"/>
        </w:rPr>
        <w:t xml:space="preserve">also </w:t>
      </w:r>
      <w:r w:rsidR="1083C91D" w:rsidRPr="3EA2A514">
        <w:rPr>
          <w:color w:val="auto"/>
        </w:rPr>
        <w:t xml:space="preserve">been </w:t>
      </w:r>
      <w:r w:rsidR="4DEF6F4E" w:rsidRPr="3EA2A514">
        <w:rPr>
          <w:color w:val="auto"/>
        </w:rPr>
        <w:t>mov</w:t>
      </w:r>
      <w:r w:rsidR="1083C91D" w:rsidRPr="3EA2A514">
        <w:rPr>
          <w:color w:val="auto"/>
        </w:rPr>
        <w:t>ed to direct delivery</w:t>
      </w:r>
      <w:r w:rsidR="64BB8658" w:rsidRPr="3EA2A514">
        <w:rPr>
          <w:color w:val="auto"/>
        </w:rPr>
        <w:t xml:space="preserve"> </w:t>
      </w:r>
      <w:r w:rsidR="7ABE342C" w:rsidRPr="3EA2A514">
        <w:rPr>
          <w:color w:val="auto"/>
        </w:rPr>
        <w:t>by</w:t>
      </w:r>
      <w:r w:rsidR="64BB8658" w:rsidRPr="3EA2A514">
        <w:rPr>
          <w:color w:val="auto"/>
        </w:rPr>
        <w:t xml:space="preserve"> </w:t>
      </w:r>
      <w:r w:rsidR="7ABE342C" w:rsidRPr="3EA2A514">
        <w:rPr>
          <w:color w:val="auto"/>
        </w:rPr>
        <w:t>the</w:t>
      </w:r>
      <w:r w:rsidR="64BB8658" w:rsidRPr="3EA2A514">
        <w:rPr>
          <w:color w:val="auto"/>
        </w:rPr>
        <w:t xml:space="preserve"> HRA but are still being </w:t>
      </w:r>
      <w:r w:rsidR="4A98886F" w:rsidRPr="3EA2A514">
        <w:rPr>
          <w:color w:val="auto"/>
        </w:rPr>
        <w:t>overseen</w:t>
      </w:r>
      <w:r w:rsidR="64BB8658" w:rsidRPr="3EA2A514">
        <w:rPr>
          <w:color w:val="auto"/>
        </w:rPr>
        <w:t xml:space="preserve"> by the OXP team. </w:t>
      </w:r>
      <w:r w:rsidR="0338325E" w:rsidRPr="3EA2A514">
        <w:rPr>
          <w:color w:val="auto"/>
        </w:rPr>
        <w:t>Reprofiling</w:t>
      </w:r>
      <w:r w:rsidR="6CA2BA56" w:rsidRPr="3EA2A514">
        <w:rPr>
          <w:color w:val="auto"/>
        </w:rPr>
        <w:t xml:space="preserve"> is required as </w:t>
      </w:r>
      <w:r w:rsidR="3915D727" w:rsidRPr="4681468F">
        <w:rPr>
          <w:color w:val="auto"/>
        </w:rPr>
        <w:t>som</w:t>
      </w:r>
      <w:r w:rsidR="300AA7BA" w:rsidRPr="4681468F">
        <w:rPr>
          <w:color w:val="auto"/>
        </w:rPr>
        <w:t>e</w:t>
      </w:r>
      <w:r w:rsidR="300AA7BA" w:rsidRPr="3EA2A514">
        <w:rPr>
          <w:color w:val="auto"/>
        </w:rPr>
        <w:t xml:space="preserve"> schemes face many </w:t>
      </w:r>
      <w:r w:rsidR="6EE9D7E7" w:rsidRPr="3EA2A514">
        <w:rPr>
          <w:color w:val="auto"/>
        </w:rPr>
        <w:t xml:space="preserve">challenges during the development phase which can cause significant delays </w:t>
      </w:r>
      <w:r w:rsidR="74AA0F2B" w:rsidRPr="3EA2A514">
        <w:rPr>
          <w:color w:val="auto"/>
        </w:rPr>
        <w:t>–</w:t>
      </w:r>
      <w:r w:rsidR="6EE9D7E7" w:rsidRPr="3EA2A514">
        <w:rPr>
          <w:color w:val="auto"/>
        </w:rPr>
        <w:t xml:space="preserve"> </w:t>
      </w:r>
      <w:r w:rsidR="30F2FD47" w:rsidRPr="3EA2A514">
        <w:rPr>
          <w:color w:val="auto"/>
        </w:rPr>
        <w:t xml:space="preserve">planning </w:t>
      </w:r>
      <w:r w:rsidR="17E286C5" w:rsidRPr="3EA2A514">
        <w:rPr>
          <w:color w:val="auto"/>
        </w:rPr>
        <w:t xml:space="preserve">objections and </w:t>
      </w:r>
      <w:r w:rsidR="30F2FD47" w:rsidRPr="3EA2A514">
        <w:rPr>
          <w:color w:val="auto"/>
        </w:rPr>
        <w:t xml:space="preserve">policy changes, </w:t>
      </w:r>
      <w:r w:rsidR="15C8548C" w:rsidRPr="3EA2A514">
        <w:rPr>
          <w:color w:val="auto"/>
        </w:rPr>
        <w:t xml:space="preserve">and </w:t>
      </w:r>
      <w:r w:rsidR="17E286C5" w:rsidRPr="3EA2A514">
        <w:rPr>
          <w:color w:val="auto"/>
        </w:rPr>
        <w:t xml:space="preserve">procurement and </w:t>
      </w:r>
      <w:r w:rsidR="52B2FE1E" w:rsidRPr="3EA2A514">
        <w:rPr>
          <w:color w:val="auto"/>
        </w:rPr>
        <w:t>contractor issues</w:t>
      </w:r>
      <w:r w:rsidR="55F0F479" w:rsidRPr="3EA2A514">
        <w:rPr>
          <w:color w:val="auto"/>
        </w:rPr>
        <w:t>.</w:t>
      </w:r>
    </w:p>
    <w:p w14:paraId="31E8D3B8" w14:textId="77777777" w:rsidR="00916E2A" w:rsidRPr="00351832" w:rsidRDefault="00916E2A" w:rsidP="00875869">
      <w:pPr>
        <w:pStyle w:val="Default"/>
        <w:ind w:left="567" w:right="386" w:hanging="567"/>
        <w:rPr>
          <w:color w:val="auto"/>
        </w:rPr>
      </w:pPr>
    </w:p>
    <w:p w14:paraId="61EBF57E" w14:textId="77777777" w:rsidR="00AA5FD8" w:rsidRPr="00351832" w:rsidRDefault="00AA5FD8" w:rsidP="00104315">
      <w:pPr>
        <w:pStyle w:val="Default"/>
        <w:ind w:left="709" w:right="386" w:hanging="709"/>
        <w:rPr>
          <w:b/>
          <w:color w:val="auto"/>
        </w:rPr>
      </w:pPr>
    </w:p>
    <w:p w14:paraId="3435E048" w14:textId="0444E78A" w:rsidR="00832276" w:rsidRPr="00351832" w:rsidRDefault="00832276" w:rsidP="00851939">
      <w:pPr>
        <w:pStyle w:val="ListParagraph"/>
        <w:numPr>
          <w:ilvl w:val="0"/>
          <w:numId w:val="53"/>
        </w:numPr>
        <w:ind w:left="540" w:hanging="540"/>
        <w:rPr>
          <w:rFonts w:eastAsia="Calibri" w:cs="Arial"/>
        </w:rPr>
      </w:pPr>
      <w:r w:rsidRPr="00351832">
        <w:rPr>
          <w:rFonts w:eastAsia="Calibri" w:cs="Arial"/>
        </w:rPr>
        <w:t>The financing of the</w:t>
      </w:r>
      <w:r w:rsidR="007E3CFF" w:rsidRPr="00351832">
        <w:rPr>
          <w:rFonts w:eastAsia="Calibri" w:cs="Arial"/>
        </w:rPr>
        <w:t xml:space="preserve"> HRA Capital Programme is from capital r</w:t>
      </w:r>
      <w:r w:rsidRPr="00351832">
        <w:rPr>
          <w:rFonts w:eastAsia="Calibri" w:cs="Arial"/>
        </w:rPr>
        <w:t>eceipts £</w:t>
      </w:r>
      <w:r w:rsidR="00E92EE0">
        <w:rPr>
          <w:rFonts w:eastAsia="Calibri" w:cs="Arial"/>
        </w:rPr>
        <w:t>48</w:t>
      </w:r>
      <w:r w:rsidRPr="00351832">
        <w:rPr>
          <w:rFonts w:eastAsia="Calibri" w:cs="Arial"/>
        </w:rPr>
        <w:t xml:space="preserve"> million, </w:t>
      </w:r>
      <w:r w:rsidR="00BE2EA7" w:rsidRPr="00351832">
        <w:rPr>
          <w:rFonts w:eastAsia="Calibri" w:cs="Arial"/>
        </w:rPr>
        <w:t>(</w:t>
      </w:r>
      <w:r w:rsidR="00C51996">
        <w:rPr>
          <w:rFonts w:eastAsia="Calibri" w:cs="Arial"/>
        </w:rPr>
        <w:t>8</w:t>
      </w:r>
      <w:r w:rsidR="00BE2EA7" w:rsidRPr="00351832">
        <w:rPr>
          <w:rFonts w:eastAsia="Calibri" w:cs="Arial"/>
        </w:rPr>
        <w:t xml:space="preserve">%) </w:t>
      </w:r>
      <w:r w:rsidR="007E3CFF" w:rsidRPr="00351832">
        <w:rPr>
          <w:rFonts w:eastAsia="Calibri" w:cs="Arial"/>
        </w:rPr>
        <w:t>arranged b</w:t>
      </w:r>
      <w:r w:rsidRPr="00351832">
        <w:rPr>
          <w:rFonts w:eastAsia="Calibri" w:cs="Arial"/>
        </w:rPr>
        <w:t>orrowing £</w:t>
      </w:r>
      <w:r w:rsidR="00C51996">
        <w:rPr>
          <w:rFonts w:eastAsia="Calibri" w:cs="Arial"/>
        </w:rPr>
        <w:t>449</w:t>
      </w:r>
      <w:r w:rsidRPr="00351832">
        <w:rPr>
          <w:rFonts w:eastAsia="Calibri" w:cs="Arial"/>
        </w:rPr>
        <w:t xml:space="preserve"> million </w:t>
      </w:r>
      <w:r w:rsidR="00BE2EA7" w:rsidRPr="00351832">
        <w:rPr>
          <w:rFonts w:eastAsia="Calibri" w:cs="Arial"/>
        </w:rPr>
        <w:t>(</w:t>
      </w:r>
      <w:r w:rsidR="32AB0737" w:rsidRPr="00351832">
        <w:rPr>
          <w:rFonts w:eastAsia="Calibri" w:cs="Arial"/>
        </w:rPr>
        <w:t>7</w:t>
      </w:r>
      <w:r w:rsidR="00C51996">
        <w:rPr>
          <w:rFonts w:eastAsia="Calibri" w:cs="Arial"/>
        </w:rPr>
        <w:t>8</w:t>
      </w:r>
      <w:r w:rsidR="00BE2EA7" w:rsidRPr="00351832">
        <w:rPr>
          <w:rFonts w:eastAsia="Calibri" w:cs="Arial"/>
        </w:rPr>
        <w:t xml:space="preserve">%), </w:t>
      </w:r>
      <w:r w:rsidR="003A5846" w:rsidRPr="00351832">
        <w:rPr>
          <w:rFonts w:eastAsia="Calibri" w:cs="Arial"/>
        </w:rPr>
        <w:t>Major Repairs Reserve £</w:t>
      </w:r>
      <w:r w:rsidR="4012D8E1" w:rsidRPr="00351832">
        <w:rPr>
          <w:rFonts w:eastAsia="Calibri" w:cs="Arial"/>
        </w:rPr>
        <w:t>5</w:t>
      </w:r>
      <w:r w:rsidR="00C51996">
        <w:rPr>
          <w:rFonts w:eastAsia="Calibri" w:cs="Arial"/>
        </w:rPr>
        <w:t>4</w:t>
      </w:r>
      <w:r w:rsidR="003A5846" w:rsidRPr="00351832">
        <w:rPr>
          <w:rFonts w:eastAsia="Calibri" w:cs="Arial"/>
        </w:rPr>
        <w:t xml:space="preserve"> million (</w:t>
      </w:r>
      <w:r w:rsidR="00C51996">
        <w:rPr>
          <w:rFonts w:eastAsia="Calibri" w:cs="Arial"/>
        </w:rPr>
        <w:t>9</w:t>
      </w:r>
      <w:r w:rsidR="003A5846" w:rsidRPr="00351832">
        <w:rPr>
          <w:rFonts w:eastAsia="Calibri" w:cs="Arial"/>
        </w:rPr>
        <w:t>%)</w:t>
      </w:r>
      <w:r w:rsidR="006A3211" w:rsidRPr="00351832">
        <w:rPr>
          <w:rFonts w:eastAsia="Calibri" w:cs="Arial"/>
        </w:rPr>
        <w:t xml:space="preserve"> </w:t>
      </w:r>
      <w:r w:rsidR="0065280F" w:rsidRPr="00351832">
        <w:rPr>
          <w:rFonts w:eastAsia="Calibri" w:cs="Arial"/>
        </w:rPr>
        <w:t xml:space="preserve">and Homes England Grants </w:t>
      </w:r>
      <w:r w:rsidR="00EC72D7" w:rsidRPr="00351832">
        <w:rPr>
          <w:rFonts w:eastAsia="Calibri" w:cs="Arial"/>
        </w:rPr>
        <w:t>£</w:t>
      </w:r>
      <w:r w:rsidR="7F894EF0" w:rsidRPr="00351832">
        <w:rPr>
          <w:rFonts w:eastAsia="Calibri" w:cs="Arial"/>
        </w:rPr>
        <w:t>2</w:t>
      </w:r>
      <w:r w:rsidR="0002378D">
        <w:rPr>
          <w:rFonts w:eastAsia="Calibri" w:cs="Arial"/>
        </w:rPr>
        <w:t>8</w:t>
      </w:r>
      <w:r w:rsidR="0065280F" w:rsidRPr="00351832">
        <w:rPr>
          <w:rFonts w:eastAsia="Calibri" w:cs="Arial"/>
        </w:rPr>
        <w:t xml:space="preserve"> million (</w:t>
      </w:r>
      <w:r w:rsidR="0002378D">
        <w:rPr>
          <w:rFonts w:eastAsia="Calibri" w:cs="Arial"/>
        </w:rPr>
        <w:t>5</w:t>
      </w:r>
      <w:r w:rsidR="0065280F" w:rsidRPr="00351832">
        <w:rPr>
          <w:rFonts w:eastAsia="Calibri" w:cs="Arial"/>
        </w:rPr>
        <w:t>%)</w:t>
      </w:r>
      <w:r w:rsidR="00264BEB" w:rsidRPr="00351832">
        <w:rPr>
          <w:rFonts w:eastAsia="Calibri" w:cs="Arial"/>
        </w:rPr>
        <w:t xml:space="preserve"> </w:t>
      </w:r>
    </w:p>
    <w:p w14:paraId="7110B3F4" w14:textId="77777777" w:rsidR="000E0DC6" w:rsidRPr="00572DC5" w:rsidRDefault="000E0DC6" w:rsidP="00875869">
      <w:pPr>
        <w:ind w:left="426" w:hanging="426"/>
        <w:rPr>
          <w:rFonts w:eastAsia="Calibri" w:cs="Arial"/>
          <w:highlight w:val="yellow"/>
        </w:rPr>
      </w:pPr>
    </w:p>
    <w:p w14:paraId="49E0B32F" w14:textId="77777777" w:rsidR="003A0255" w:rsidRPr="000571BB" w:rsidRDefault="009A6B0F" w:rsidP="002F1C48">
      <w:pPr>
        <w:tabs>
          <w:tab w:val="left" w:pos="630"/>
        </w:tabs>
        <w:rPr>
          <w:b/>
        </w:rPr>
      </w:pPr>
      <w:r w:rsidRPr="000571BB">
        <w:rPr>
          <w:b/>
        </w:rPr>
        <w:t>Risk Implications impacting the Capital Programme</w:t>
      </w:r>
    </w:p>
    <w:p w14:paraId="4C46E984" w14:textId="77777777" w:rsidR="00C8620D" w:rsidRPr="000571BB" w:rsidRDefault="00C8620D" w:rsidP="002F1C48">
      <w:pPr>
        <w:rPr>
          <w:b/>
        </w:rPr>
      </w:pPr>
    </w:p>
    <w:p w14:paraId="577945D1" w14:textId="77777777" w:rsidR="009A6B0F" w:rsidRPr="000571BB" w:rsidRDefault="249B6D59" w:rsidP="00B31981">
      <w:pPr>
        <w:pStyle w:val="ListParagraph"/>
        <w:numPr>
          <w:ilvl w:val="0"/>
          <w:numId w:val="53"/>
        </w:numPr>
        <w:ind w:left="426" w:right="386" w:hanging="568"/>
      </w:pPr>
      <w:r w:rsidRPr="000571BB">
        <w:t xml:space="preserve">The main risks to the </w:t>
      </w:r>
      <w:r w:rsidR="24250FA3" w:rsidRPr="000571BB">
        <w:t>C</w:t>
      </w:r>
      <w:r w:rsidR="4D6D5776" w:rsidRPr="000571BB">
        <w:t xml:space="preserve">apital Programme are set out in </w:t>
      </w:r>
      <w:r w:rsidRPr="000571BB">
        <w:t xml:space="preserve">Appendix </w:t>
      </w:r>
      <w:r w:rsidR="76757199" w:rsidRPr="000571BB">
        <w:t>8</w:t>
      </w:r>
      <w:r w:rsidRPr="000571BB">
        <w:t xml:space="preserve"> </w:t>
      </w:r>
      <w:r w:rsidR="4D6D5776" w:rsidRPr="000571BB">
        <w:t>and summarised below</w:t>
      </w:r>
      <w:r w:rsidRPr="000571BB">
        <w:t>:</w:t>
      </w:r>
    </w:p>
    <w:p w14:paraId="62784D19" w14:textId="77777777" w:rsidR="009A6B0F" w:rsidRPr="000571BB" w:rsidRDefault="009A6B0F" w:rsidP="00104315">
      <w:pPr>
        <w:ind w:left="709" w:right="386" w:hanging="709"/>
      </w:pPr>
    </w:p>
    <w:p w14:paraId="3C32A0AF" w14:textId="5F938A33" w:rsidR="009A6B0F" w:rsidRPr="000571BB" w:rsidRDefault="00F01503" w:rsidP="00712800">
      <w:pPr>
        <w:numPr>
          <w:ilvl w:val="0"/>
          <w:numId w:val="17"/>
        </w:numPr>
        <w:tabs>
          <w:tab w:val="clear" w:pos="1495"/>
        </w:tabs>
        <w:ind w:left="1418" w:right="386" w:hanging="425"/>
      </w:pPr>
      <w:r w:rsidRPr="000571BB">
        <w:t>Right to buy d</w:t>
      </w:r>
      <w:r w:rsidR="009A6B0F" w:rsidRPr="000571BB">
        <w:t>isposals</w:t>
      </w:r>
      <w:r w:rsidR="00DF0D5E" w:rsidRPr="000571BB">
        <w:t xml:space="preserve"> as detailed </w:t>
      </w:r>
      <w:r w:rsidRPr="000571BB">
        <w:t xml:space="preserve">in the assumptions </w:t>
      </w:r>
      <w:r w:rsidR="00DF0D5E" w:rsidRPr="000571BB">
        <w:t>are</w:t>
      </w:r>
      <w:r w:rsidR="009A6B0F" w:rsidRPr="000571BB">
        <w:t xml:space="preserve"> not </w:t>
      </w:r>
      <w:r w:rsidRPr="000571BB">
        <w:t xml:space="preserve">as forecast </w:t>
      </w:r>
      <w:r w:rsidR="009A6B0F" w:rsidRPr="000571BB">
        <w:t>causing a shortfall in funding of schemes</w:t>
      </w:r>
      <w:r w:rsidR="006A3211" w:rsidRPr="000571BB">
        <w:t>.</w:t>
      </w:r>
    </w:p>
    <w:p w14:paraId="7D4B22ED" w14:textId="6E46F649" w:rsidR="00811E2D" w:rsidRPr="000571BB" w:rsidRDefault="00811E2D" w:rsidP="00712800">
      <w:pPr>
        <w:numPr>
          <w:ilvl w:val="0"/>
          <w:numId w:val="17"/>
        </w:numPr>
        <w:tabs>
          <w:tab w:val="clear" w:pos="1495"/>
        </w:tabs>
        <w:ind w:left="567" w:right="386" w:firstLine="426"/>
      </w:pPr>
      <w:r w:rsidRPr="000571BB">
        <w:t>Delays in construction of new homes by O</w:t>
      </w:r>
      <w:r w:rsidR="4B017F84" w:rsidRPr="000571BB">
        <w:t>XPlace</w:t>
      </w:r>
      <w:r w:rsidR="006A3211" w:rsidRPr="000571BB">
        <w:t>.</w:t>
      </w:r>
    </w:p>
    <w:p w14:paraId="4687D7A2" w14:textId="02ECCB1A" w:rsidR="009A6B0F" w:rsidRPr="000571BB" w:rsidRDefault="009A6B0F" w:rsidP="00712800">
      <w:pPr>
        <w:numPr>
          <w:ilvl w:val="0"/>
          <w:numId w:val="17"/>
        </w:numPr>
        <w:tabs>
          <w:tab w:val="clear" w:pos="1495"/>
          <w:tab w:val="num" w:pos="630"/>
        </w:tabs>
        <w:ind w:left="567" w:right="386" w:firstLine="426"/>
        <w:jc w:val="both"/>
      </w:pPr>
      <w:r w:rsidRPr="000571BB">
        <w:t xml:space="preserve">Slippage in </w:t>
      </w:r>
      <w:r w:rsidR="00DF0D5E" w:rsidRPr="000571BB">
        <w:t>C</w:t>
      </w:r>
      <w:r w:rsidRPr="000571BB">
        <w:t xml:space="preserve">apital </w:t>
      </w:r>
      <w:r w:rsidR="00DF0D5E" w:rsidRPr="000571BB">
        <w:t>P</w:t>
      </w:r>
      <w:r w:rsidRPr="000571BB">
        <w:t xml:space="preserve">rogramme and impact on </w:t>
      </w:r>
      <w:r w:rsidR="00E34F9A" w:rsidRPr="000571BB">
        <w:t>delivery of priorities</w:t>
      </w:r>
      <w:r w:rsidR="006A3211" w:rsidRPr="000571BB">
        <w:t>.</w:t>
      </w:r>
    </w:p>
    <w:p w14:paraId="64682D4D" w14:textId="336348CE" w:rsidR="009A6B0F" w:rsidRPr="000571BB" w:rsidRDefault="009A6B0F" w:rsidP="00712800">
      <w:pPr>
        <w:numPr>
          <w:ilvl w:val="0"/>
          <w:numId w:val="17"/>
        </w:numPr>
        <w:tabs>
          <w:tab w:val="clear" w:pos="1495"/>
          <w:tab w:val="num" w:pos="630"/>
        </w:tabs>
        <w:ind w:left="567" w:right="386" w:firstLine="426"/>
        <w:jc w:val="both"/>
      </w:pPr>
      <w:r w:rsidRPr="000571BB">
        <w:t>Robustness of estimates</w:t>
      </w:r>
      <w:r w:rsidR="006A3211" w:rsidRPr="000571BB">
        <w:t>.</w:t>
      </w:r>
    </w:p>
    <w:p w14:paraId="0B9EDFCF" w14:textId="77777777" w:rsidR="001A54CF" w:rsidRPr="000571BB" w:rsidRDefault="001A54CF" w:rsidP="00104315">
      <w:pPr>
        <w:ind w:left="567" w:right="386" w:firstLine="426"/>
        <w:jc w:val="both"/>
        <w:rPr>
          <w:b/>
        </w:rPr>
      </w:pPr>
    </w:p>
    <w:p w14:paraId="68FCACD6" w14:textId="77777777" w:rsidR="00E66B72" w:rsidRPr="00A36C44" w:rsidRDefault="00E66B72" w:rsidP="00DA17E9">
      <w:pPr>
        <w:tabs>
          <w:tab w:val="left" w:pos="630"/>
        </w:tabs>
        <w:ind w:left="709" w:right="386" w:hanging="709"/>
        <w:jc w:val="both"/>
        <w:rPr>
          <w:b/>
        </w:rPr>
      </w:pPr>
      <w:r w:rsidRPr="00A36C44">
        <w:rPr>
          <w:b/>
        </w:rPr>
        <w:t>Budget next steps</w:t>
      </w:r>
    </w:p>
    <w:p w14:paraId="407F8720" w14:textId="77777777" w:rsidR="00E66B72" w:rsidRPr="00A36C44" w:rsidRDefault="00E66B72" w:rsidP="00DA17E9">
      <w:pPr>
        <w:ind w:left="709" w:right="386" w:hanging="709"/>
        <w:jc w:val="both"/>
      </w:pPr>
    </w:p>
    <w:p w14:paraId="776FBA5A" w14:textId="77777777" w:rsidR="00DE3FBB" w:rsidRPr="00A36C44" w:rsidRDefault="0252C461" w:rsidP="00B31981">
      <w:pPr>
        <w:pStyle w:val="ListParagraph"/>
        <w:numPr>
          <w:ilvl w:val="0"/>
          <w:numId w:val="53"/>
        </w:numPr>
        <w:ind w:left="426" w:right="386" w:hanging="568"/>
        <w:jc w:val="both"/>
      </w:pPr>
      <w:r w:rsidRPr="00A36C44">
        <w:t>The timetable for consultation and for Budget approval by Council is set out in the following table:</w:t>
      </w:r>
    </w:p>
    <w:p w14:paraId="66D4A60C" w14:textId="77777777" w:rsidR="00607E30" w:rsidRPr="00A36C44" w:rsidRDefault="00607E30" w:rsidP="00104315">
      <w:pPr>
        <w:ind w:left="709" w:right="386" w:hanging="709"/>
        <w:jc w:val="bo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6"/>
        <w:gridCol w:w="2667"/>
      </w:tblGrid>
      <w:tr w:rsidR="00B47C41" w:rsidRPr="00A36C44" w14:paraId="26ACC06F" w14:textId="77777777" w:rsidTr="60EA432F">
        <w:tc>
          <w:tcPr>
            <w:tcW w:w="8933" w:type="dxa"/>
            <w:gridSpan w:val="2"/>
            <w:shd w:val="clear" w:color="auto" w:fill="BFBFBF" w:themeFill="background1" w:themeFillShade="BF"/>
          </w:tcPr>
          <w:p w14:paraId="69E58F06" w14:textId="15C5F44F" w:rsidR="00B47C41" w:rsidRPr="00A36C44" w:rsidRDefault="1284909E" w:rsidP="60EA432F">
            <w:pPr>
              <w:ind w:right="386"/>
              <w:rPr>
                <w:b/>
                <w:bCs/>
              </w:rPr>
            </w:pPr>
            <w:r w:rsidRPr="00A36C44">
              <w:rPr>
                <w:b/>
                <w:bCs/>
              </w:rPr>
              <w:t xml:space="preserve">Table </w:t>
            </w:r>
            <w:r w:rsidR="3804942B" w:rsidRPr="00A36C44">
              <w:rPr>
                <w:b/>
                <w:bCs/>
              </w:rPr>
              <w:t>1</w:t>
            </w:r>
            <w:r w:rsidR="009004FF">
              <w:rPr>
                <w:b/>
                <w:bCs/>
              </w:rPr>
              <w:t>3</w:t>
            </w:r>
            <w:r w:rsidR="75C1C4DF" w:rsidRPr="00A36C44">
              <w:rPr>
                <w:b/>
                <w:bCs/>
              </w:rPr>
              <w:t>:</w:t>
            </w:r>
            <w:r w:rsidRPr="00A36C44">
              <w:rPr>
                <w:b/>
                <w:bCs/>
              </w:rPr>
              <w:t xml:space="preserve"> Budget Consultation Timetable</w:t>
            </w:r>
          </w:p>
        </w:tc>
      </w:tr>
      <w:tr w:rsidR="002B3BBA" w:rsidRPr="00A36C44" w14:paraId="1AE3B6FF" w14:textId="77777777" w:rsidTr="60EA432F">
        <w:tc>
          <w:tcPr>
            <w:tcW w:w="6266" w:type="dxa"/>
            <w:vAlign w:val="center"/>
          </w:tcPr>
          <w:p w14:paraId="4C5F2157" w14:textId="77777777" w:rsidR="002B3BBA" w:rsidRPr="00A36C44" w:rsidRDefault="002B3BBA" w:rsidP="00DA17E9">
            <w:pPr>
              <w:ind w:right="386"/>
              <w:jc w:val="both"/>
            </w:pPr>
            <w:r w:rsidRPr="00A36C44">
              <w:t>Consultation Budget Report to C</w:t>
            </w:r>
            <w:r w:rsidR="007E3CFF" w:rsidRPr="00A36C44">
              <w:t>abinet</w:t>
            </w:r>
          </w:p>
        </w:tc>
        <w:tc>
          <w:tcPr>
            <w:tcW w:w="2667" w:type="dxa"/>
            <w:vAlign w:val="center"/>
          </w:tcPr>
          <w:p w14:paraId="788ED73A" w14:textId="6852AF25" w:rsidR="002B3BBA" w:rsidRPr="00A36C44" w:rsidRDefault="17EA641A" w:rsidP="00DA70E0">
            <w:pPr>
              <w:ind w:right="7"/>
              <w:jc w:val="right"/>
            </w:pPr>
            <w:r w:rsidRPr="00A36C44">
              <w:t>1</w:t>
            </w:r>
            <w:r w:rsidR="008B498F" w:rsidRPr="00A36C44">
              <w:t>0</w:t>
            </w:r>
            <w:r w:rsidR="030E15CD" w:rsidRPr="00A36C44">
              <w:t>th</w:t>
            </w:r>
            <w:r w:rsidR="288F8C28" w:rsidRPr="00A36C44">
              <w:t xml:space="preserve"> December </w:t>
            </w:r>
            <w:r w:rsidR="007E3CFF" w:rsidRPr="00A36C44">
              <w:t>20</w:t>
            </w:r>
            <w:r w:rsidR="05CABB85" w:rsidRPr="00A36C44">
              <w:t>2</w:t>
            </w:r>
            <w:r w:rsidR="008B498F" w:rsidRPr="00A36C44">
              <w:t>5</w:t>
            </w:r>
          </w:p>
        </w:tc>
      </w:tr>
      <w:tr w:rsidR="002B3BBA" w:rsidRPr="00A36C44" w14:paraId="3F865946" w14:textId="77777777" w:rsidTr="60EA432F">
        <w:tc>
          <w:tcPr>
            <w:tcW w:w="6266" w:type="dxa"/>
            <w:vAlign w:val="center"/>
          </w:tcPr>
          <w:p w14:paraId="2CF00FE8" w14:textId="77777777" w:rsidR="002B3BBA" w:rsidRPr="00A36C44" w:rsidRDefault="002B3BBA" w:rsidP="00DA17E9">
            <w:pPr>
              <w:ind w:right="386"/>
              <w:jc w:val="both"/>
            </w:pPr>
            <w:r w:rsidRPr="00A36C44">
              <w:t>Budget Consultation Period</w:t>
            </w:r>
          </w:p>
        </w:tc>
        <w:tc>
          <w:tcPr>
            <w:tcW w:w="2667" w:type="dxa"/>
            <w:vAlign w:val="center"/>
          </w:tcPr>
          <w:p w14:paraId="109F04C3" w14:textId="6D961D29" w:rsidR="002B3BBA" w:rsidRPr="00A36C44" w:rsidRDefault="05CABB85" w:rsidP="00DA70E0">
            <w:pPr>
              <w:ind w:right="7"/>
              <w:jc w:val="right"/>
            </w:pPr>
            <w:r w:rsidRPr="00A36C44">
              <w:t>1</w:t>
            </w:r>
            <w:r w:rsidR="002745AF" w:rsidRPr="00A36C44">
              <w:t>1</w:t>
            </w:r>
            <w:r w:rsidR="5E29E4C4" w:rsidRPr="00A36C44">
              <w:t>th</w:t>
            </w:r>
            <w:r w:rsidR="2135C7DB" w:rsidRPr="00A36C44">
              <w:t xml:space="preserve"> </w:t>
            </w:r>
            <w:r w:rsidR="288F8C28" w:rsidRPr="00A36C44">
              <w:t>December to</w:t>
            </w:r>
            <w:r w:rsidR="00F81726" w:rsidRPr="00A36C44">
              <w:br/>
            </w:r>
            <w:r w:rsidR="288F8C28" w:rsidRPr="00A36C44">
              <w:t xml:space="preserve"> </w:t>
            </w:r>
            <w:r w:rsidR="00BD3441" w:rsidRPr="00A36C44">
              <w:t>31</w:t>
            </w:r>
            <w:r w:rsidR="00BD3441" w:rsidRPr="00A36C44">
              <w:rPr>
                <w:vertAlign w:val="superscript"/>
              </w:rPr>
              <w:t>st</w:t>
            </w:r>
            <w:r w:rsidR="00BD3441" w:rsidRPr="00A36C44">
              <w:t xml:space="preserve"> </w:t>
            </w:r>
            <w:r w:rsidR="288F8C28" w:rsidRPr="00A36C44">
              <w:t>January 20</w:t>
            </w:r>
            <w:r w:rsidR="7722A698" w:rsidRPr="00A36C44">
              <w:t>2</w:t>
            </w:r>
            <w:r w:rsidR="008B498F" w:rsidRPr="00A36C44">
              <w:t>6</w:t>
            </w:r>
          </w:p>
        </w:tc>
      </w:tr>
      <w:tr w:rsidR="002B3BBA" w:rsidRPr="00A36C44" w14:paraId="07C9F220" w14:textId="77777777" w:rsidTr="60EA432F">
        <w:tc>
          <w:tcPr>
            <w:tcW w:w="6266" w:type="dxa"/>
            <w:vAlign w:val="center"/>
          </w:tcPr>
          <w:p w14:paraId="201BA142" w14:textId="77777777" w:rsidR="002B3BBA" w:rsidRPr="00A36C44" w:rsidRDefault="002B3BBA" w:rsidP="00DA17E9">
            <w:pPr>
              <w:ind w:right="386"/>
              <w:jc w:val="both"/>
            </w:pPr>
            <w:r w:rsidRPr="00A36C44">
              <w:t>Final Budget Report to C</w:t>
            </w:r>
            <w:r w:rsidR="007E3CFF" w:rsidRPr="00A36C44">
              <w:t>abinet</w:t>
            </w:r>
            <w:r w:rsidRPr="00A36C44">
              <w:t xml:space="preserve"> including </w:t>
            </w:r>
            <w:r w:rsidR="00506E70" w:rsidRPr="00A36C44">
              <w:t>outcome of Consultation</w:t>
            </w:r>
          </w:p>
        </w:tc>
        <w:tc>
          <w:tcPr>
            <w:tcW w:w="2667" w:type="dxa"/>
            <w:vAlign w:val="center"/>
          </w:tcPr>
          <w:p w14:paraId="5F0617BF" w14:textId="70C9C172" w:rsidR="002B3BBA" w:rsidRPr="00A36C44" w:rsidRDefault="00A36C44" w:rsidP="00DA70E0">
            <w:pPr>
              <w:ind w:right="7"/>
              <w:jc w:val="right"/>
            </w:pPr>
            <w:r w:rsidRPr="00A36C44">
              <w:t>11</w:t>
            </w:r>
            <w:r w:rsidR="00F96498" w:rsidRPr="00A36C44">
              <w:t>th</w:t>
            </w:r>
            <w:r w:rsidR="0069562D" w:rsidRPr="00A36C44">
              <w:t xml:space="preserve"> February 20</w:t>
            </w:r>
            <w:r w:rsidR="00AD7431" w:rsidRPr="00A36C44">
              <w:t>2</w:t>
            </w:r>
            <w:r w:rsidRPr="00A36C44">
              <w:t>6</w:t>
            </w:r>
          </w:p>
        </w:tc>
      </w:tr>
      <w:tr w:rsidR="002B3BBA" w:rsidRPr="00A36C44" w14:paraId="72AAB1A2" w14:textId="77777777" w:rsidTr="60EA432F">
        <w:tc>
          <w:tcPr>
            <w:tcW w:w="6266" w:type="dxa"/>
            <w:vAlign w:val="center"/>
          </w:tcPr>
          <w:p w14:paraId="695A7324" w14:textId="77777777" w:rsidR="002B3BBA" w:rsidRPr="00A36C44" w:rsidRDefault="002B3BBA" w:rsidP="00DA17E9">
            <w:pPr>
              <w:ind w:right="386"/>
              <w:jc w:val="both"/>
            </w:pPr>
            <w:r w:rsidRPr="00A36C44">
              <w:t>Budget approval and Council Tax Setting</w:t>
            </w:r>
            <w:r w:rsidR="007E3CFF" w:rsidRPr="00A36C44">
              <w:t xml:space="preserve"> Council</w:t>
            </w:r>
          </w:p>
        </w:tc>
        <w:tc>
          <w:tcPr>
            <w:tcW w:w="2667" w:type="dxa"/>
            <w:vAlign w:val="center"/>
          </w:tcPr>
          <w:p w14:paraId="4E000AC9" w14:textId="285F7EAE" w:rsidR="002B3BBA" w:rsidRPr="00A36C44" w:rsidRDefault="00A36C44" w:rsidP="00DA70E0">
            <w:pPr>
              <w:ind w:right="7"/>
              <w:jc w:val="right"/>
            </w:pPr>
            <w:r w:rsidRPr="00A36C44">
              <w:t>23rd</w:t>
            </w:r>
            <w:r w:rsidR="002B3BBA" w:rsidRPr="00A36C44">
              <w:t xml:space="preserve"> Febru</w:t>
            </w:r>
            <w:r w:rsidR="00E83500" w:rsidRPr="00A36C44">
              <w:t>a</w:t>
            </w:r>
            <w:r w:rsidR="002B3BBA" w:rsidRPr="00A36C44">
              <w:t>ry 20</w:t>
            </w:r>
            <w:r w:rsidR="00AD7431" w:rsidRPr="00A36C44">
              <w:t>2</w:t>
            </w:r>
            <w:r w:rsidRPr="00A36C44">
              <w:t>6</w:t>
            </w:r>
          </w:p>
        </w:tc>
      </w:tr>
    </w:tbl>
    <w:p w14:paraId="196D9448" w14:textId="77777777" w:rsidR="002B3BBA" w:rsidRPr="00A36C44" w:rsidRDefault="002B3BBA" w:rsidP="00DA17E9">
      <w:pPr>
        <w:ind w:left="720" w:right="386"/>
        <w:jc w:val="both"/>
      </w:pPr>
    </w:p>
    <w:p w14:paraId="1BDE4E86" w14:textId="77777777" w:rsidR="00815874" w:rsidRPr="00A36C44" w:rsidRDefault="3D1A4354" w:rsidP="00B31981">
      <w:pPr>
        <w:pStyle w:val="ListParagraph"/>
        <w:numPr>
          <w:ilvl w:val="0"/>
          <w:numId w:val="53"/>
        </w:numPr>
        <w:ind w:left="426" w:right="386" w:hanging="568"/>
        <w:rPr>
          <w:rFonts w:cs="Arial"/>
        </w:rPr>
      </w:pPr>
      <w:r w:rsidRPr="00A36C44">
        <w:rPr>
          <w:rFonts w:cs="Arial"/>
          <w:color w:val="000000" w:themeColor="text1"/>
        </w:rPr>
        <w:t xml:space="preserve">The Council will </w:t>
      </w:r>
      <w:r w:rsidR="7722A698" w:rsidRPr="00A36C44">
        <w:rPr>
          <w:rFonts w:cs="Arial"/>
          <w:color w:val="000000" w:themeColor="text1"/>
        </w:rPr>
        <w:t xml:space="preserve">make use of its </w:t>
      </w:r>
      <w:r w:rsidR="1F2437CE" w:rsidRPr="00A36C44">
        <w:rPr>
          <w:rFonts w:cs="Arial"/>
          <w:color w:val="000000" w:themeColor="text1"/>
        </w:rPr>
        <w:t>citizens</w:t>
      </w:r>
      <w:r w:rsidR="20E8ECEA" w:rsidRPr="00A36C44">
        <w:rPr>
          <w:rFonts w:cs="Arial"/>
          <w:color w:val="000000" w:themeColor="text1"/>
        </w:rPr>
        <w:t>’</w:t>
      </w:r>
      <w:r w:rsidR="7722A698" w:rsidRPr="00A36C44">
        <w:rPr>
          <w:rFonts w:cs="Arial"/>
          <w:color w:val="000000" w:themeColor="text1"/>
        </w:rPr>
        <w:t xml:space="preserve"> </w:t>
      </w:r>
      <w:r w:rsidR="7B7F04BB" w:rsidRPr="00A36C44">
        <w:rPr>
          <w:rFonts w:cs="Arial"/>
          <w:color w:val="000000" w:themeColor="text1"/>
        </w:rPr>
        <w:t>panel</w:t>
      </w:r>
      <w:r w:rsidR="7722A698" w:rsidRPr="00A36C44">
        <w:rPr>
          <w:rFonts w:cs="Arial"/>
          <w:color w:val="000000" w:themeColor="text1"/>
        </w:rPr>
        <w:t xml:space="preserve"> as well as </w:t>
      </w:r>
      <w:r w:rsidR="03903564" w:rsidRPr="00A36C44">
        <w:rPr>
          <w:rFonts w:cs="Arial"/>
          <w:color w:val="000000" w:themeColor="text1"/>
        </w:rPr>
        <w:t>an online survey.</w:t>
      </w:r>
      <w:r w:rsidR="00F01CC2" w:rsidRPr="00A36C44">
        <w:rPr>
          <w:rFonts w:cs="Arial"/>
          <w:color w:val="000000" w:themeColor="text1"/>
        </w:rPr>
        <w:t xml:space="preserve"> </w:t>
      </w:r>
      <w:r w:rsidR="03903564" w:rsidRPr="00A36C44">
        <w:rPr>
          <w:rFonts w:cs="Arial"/>
          <w:color w:val="000000" w:themeColor="text1"/>
        </w:rPr>
        <w:t xml:space="preserve">The survey will be publicised in local newspapers and </w:t>
      </w:r>
      <w:r w:rsidR="007E3CFF" w:rsidRPr="00A36C44">
        <w:rPr>
          <w:rFonts w:cs="Arial"/>
          <w:color w:val="000000" w:themeColor="text1"/>
        </w:rPr>
        <w:t xml:space="preserve">the </w:t>
      </w:r>
      <w:r w:rsidRPr="00A36C44">
        <w:rPr>
          <w:rFonts w:cs="Arial"/>
          <w:color w:val="000000" w:themeColor="text1"/>
        </w:rPr>
        <w:t xml:space="preserve">budget </w:t>
      </w:r>
      <w:r w:rsidR="03903564" w:rsidRPr="00A36C44">
        <w:rPr>
          <w:rFonts w:cs="Arial"/>
          <w:color w:val="000000" w:themeColor="text1"/>
        </w:rPr>
        <w:t xml:space="preserve">will be shared </w:t>
      </w:r>
      <w:r w:rsidRPr="00A36C44">
        <w:rPr>
          <w:rFonts w:cs="Arial"/>
          <w:color w:val="000000" w:themeColor="text1"/>
        </w:rPr>
        <w:t>with other stakeholders, such as trade unions and local voluntary organisations</w:t>
      </w:r>
      <w:r w:rsidR="03903564" w:rsidRPr="00A36C44">
        <w:rPr>
          <w:rFonts w:cs="Arial"/>
          <w:color w:val="000000" w:themeColor="text1"/>
        </w:rPr>
        <w:t xml:space="preserve"> and businesses </w:t>
      </w:r>
      <w:r w:rsidRPr="00A36C44">
        <w:rPr>
          <w:rFonts w:cs="Arial"/>
          <w:color w:val="000000" w:themeColor="text1"/>
        </w:rPr>
        <w:t>for comment</w:t>
      </w:r>
      <w:r w:rsidR="03903564" w:rsidRPr="00A36C44">
        <w:rPr>
          <w:rFonts w:cs="Arial"/>
          <w:color w:val="000000" w:themeColor="text1"/>
        </w:rPr>
        <w:t xml:space="preserve">. </w:t>
      </w:r>
    </w:p>
    <w:p w14:paraId="3A771F48" w14:textId="77777777" w:rsidR="00815874" w:rsidRPr="00A36C44" w:rsidRDefault="00815874" w:rsidP="00104315">
      <w:pPr>
        <w:ind w:left="709" w:right="386" w:hanging="709"/>
        <w:rPr>
          <w:rFonts w:cs="Arial"/>
          <w:b/>
          <w:sz w:val="28"/>
          <w:szCs w:val="28"/>
        </w:rPr>
      </w:pPr>
    </w:p>
    <w:p w14:paraId="06F7D444" w14:textId="77777777" w:rsidR="00902E5A" w:rsidRPr="00A36C44" w:rsidRDefault="5BA970E3" w:rsidP="00B31981">
      <w:pPr>
        <w:pStyle w:val="ListParagraph"/>
        <w:numPr>
          <w:ilvl w:val="0"/>
          <w:numId w:val="53"/>
        </w:numPr>
        <w:ind w:left="426" w:hanging="568"/>
        <w:rPr>
          <w:rFonts w:cs="Arial"/>
          <w:lang w:eastAsia="en-GB"/>
        </w:rPr>
      </w:pPr>
      <w:r w:rsidRPr="00A36C44">
        <w:rPr>
          <w:rFonts w:cs="Arial"/>
        </w:rPr>
        <w:lastRenderedPageBreak/>
        <w:t>T</w:t>
      </w:r>
      <w:r w:rsidR="396DCCBB" w:rsidRPr="00A36C44">
        <w:rPr>
          <w:rFonts w:cs="Arial"/>
        </w:rPr>
        <w:t>enant</w:t>
      </w:r>
      <w:r w:rsidR="4D6D5776" w:rsidRPr="00A36C44">
        <w:rPr>
          <w:rFonts w:cs="Arial"/>
        </w:rPr>
        <w:t>s</w:t>
      </w:r>
      <w:r w:rsidR="396DCCBB" w:rsidRPr="00A36C44">
        <w:rPr>
          <w:rFonts w:cs="Arial"/>
        </w:rPr>
        <w:t xml:space="preserve"> </w:t>
      </w:r>
      <w:r w:rsidR="4D6D5776" w:rsidRPr="00A36C44">
        <w:rPr>
          <w:rFonts w:cs="Arial"/>
        </w:rPr>
        <w:t>will be consulted on</w:t>
      </w:r>
      <w:r w:rsidR="396DCCBB" w:rsidRPr="00A36C44">
        <w:rPr>
          <w:rFonts w:cs="Arial"/>
        </w:rPr>
        <w:t xml:space="preserve"> the </w:t>
      </w:r>
      <w:r w:rsidR="396DCCBB" w:rsidRPr="00A36C44">
        <w:rPr>
          <w:rFonts w:cs="Arial"/>
          <w:lang w:eastAsia="en-GB"/>
        </w:rPr>
        <w:t xml:space="preserve">HRA budget </w:t>
      </w:r>
      <w:r w:rsidR="0F9568D0" w:rsidRPr="00A36C44">
        <w:rPr>
          <w:rFonts w:cs="Arial"/>
          <w:lang w:eastAsia="en-GB"/>
        </w:rPr>
        <w:t xml:space="preserve">including </w:t>
      </w:r>
      <w:r w:rsidR="396DCCBB" w:rsidRPr="00A36C44">
        <w:rPr>
          <w:rFonts w:cs="Arial"/>
          <w:lang w:eastAsia="en-GB"/>
        </w:rPr>
        <w:t>rent and service charge changes with a special resident focus group(s) and the tenant newsletter 'Tenants in Touch'.</w:t>
      </w:r>
    </w:p>
    <w:p w14:paraId="6C96F6A3" w14:textId="77777777" w:rsidR="00E96AB6" w:rsidRPr="00A36C44" w:rsidRDefault="00E96AB6" w:rsidP="00875869">
      <w:pPr>
        <w:pStyle w:val="ListParagraph"/>
        <w:ind w:left="709" w:hanging="709"/>
        <w:rPr>
          <w:rFonts w:cs="Arial"/>
          <w:lang w:eastAsia="en-GB"/>
        </w:rPr>
      </w:pPr>
    </w:p>
    <w:p w14:paraId="5CF90B94" w14:textId="77777777" w:rsidR="002B3BBA" w:rsidRPr="008B498F" w:rsidRDefault="00506E70" w:rsidP="00875869">
      <w:pPr>
        <w:ind w:left="709" w:right="386" w:hanging="709"/>
        <w:jc w:val="both"/>
        <w:rPr>
          <w:rFonts w:cs="Arial"/>
          <w:b/>
        </w:rPr>
      </w:pPr>
      <w:r w:rsidRPr="008B498F">
        <w:rPr>
          <w:rFonts w:cs="Arial"/>
          <w:b/>
        </w:rPr>
        <w:t>Financial Implications</w:t>
      </w:r>
    </w:p>
    <w:p w14:paraId="3B81DAA1" w14:textId="4634BA27" w:rsidR="00506E70" w:rsidRPr="008B498F" w:rsidRDefault="385B6260" w:rsidP="00B31981">
      <w:pPr>
        <w:pStyle w:val="ListParagraph"/>
        <w:numPr>
          <w:ilvl w:val="0"/>
          <w:numId w:val="53"/>
        </w:numPr>
        <w:ind w:left="426" w:right="386" w:hanging="568"/>
        <w:jc w:val="both"/>
      </w:pPr>
      <w:r w:rsidRPr="008B498F">
        <w:rPr>
          <w:rFonts w:cs="Arial"/>
        </w:rPr>
        <w:t>These</w:t>
      </w:r>
      <w:r w:rsidRPr="008B498F">
        <w:t xml:space="preserve"> are covered within the main body of the report</w:t>
      </w:r>
      <w:r w:rsidR="00D978F9" w:rsidRPr="008B498F">
        <w:t>.</w:t>
      </w:r>
    </w:p>
    <w:p w14:paraId="7FAD1A1E" w14:textId="77777777" w:rsidR="002B7D72" w:rsidRPr="008B498F" w:rsidRDefault="002B7D72" w:rsidP="00104315">
      <w:pPr>
        <w:pStyle w:val="ListParagraph"/>
        <w:ind w:left="709" w:right="386" w:hanging="709"/>
        <w:jc w:val="both"/>
      </w:pPr>
    </w:p>
    <w:p w14:paraId="76FF77D6" w14:textId="77777777" w:rsidR="00506E70" w:rsidRPr="008B498F" w:rsidRDefault="00506E70" w:rsidP="00104315">
      <w:pPr>
        <w:ind w:left="709" w:right="386" w:hanging="709"/>
        <w:jc w:val="both"/>
        <w:rPr>
          <w:b/>
        </w:rPr>
      </w:pPr>
      <w:r w:rsidRPr="008B498F">
        <w:rPr>
          <w:b/>
        </w:rPr>
        <w:t>Legal Implications</w:t>
      </w:r>
    </w:p>
    <w:p w14:paraId="41A546A7" w14:textId="77777777" w:rsidR="00506E70" w:rsidRPr="008B498F" w:rsidRDefault="00506E70" w:rsidP="00104315">
      <w:pPr>
        <w:ind w:left="709" w:right="386" w:hanging="709"/>
        <w:jc w:val="both"/>
      </w:pPr>
    </w:p>
    <w:p w14:paraId="7C943C85" w14:textId="12785E06" w:rsidR="00506E70" w:rsidRPr="008B498F" w:rsidRDefault="2742C89D" w:rsidP="00851939">
      <w:pPr>
        <w:pStyle w:val="ListParagraph"/>
        <w:numPr>
          <w:ilvl w:val="0"/>
          <w:numId w:val="53"/>
        </w:numPr>
        <w:ind w:left="709" w:right="386" w:hanging="709"/>
      </w:pPr>
      <w:r w:rsidRPr="008B498F">
        <w:t xml:space="preserve">Section 30 of the Local Government Finance Act </w:t>
      </w:r>
      <w:r w:rsidR="059DFE09" w:rsidRPr="008B498F">
        <w:t xml:space="preserve">1992 </w:t>
      </w:r>
      <w:r w:rsidRPr="008B498F">
        <w:t>requires that a local authority ‘must set a balanced budget and council tax before the 11</w:t>
      </w:r>
      <w:r w:rsidRPr="008B498F">
        <w:rPr>
          <w:vertAlign w:val="superscript"/>
        </w:rPr>
        <w:t>th</w:t>
      </w:r>
      <w:r w:rsidRPr="008B498F">
        <w:t xml:space="preserve"> March in the financial year preceding that for which it is </w:t>
      </w:r>
      <w:r w:rsidR="29D53B21" w:rsidRPr="008B498F">
        <w:t xml:space="preserve">set’. </w:t>
      </w:r>
      <w:r w:rsidR="0F9568D0" w:rsidRPr="008B498F">
        <w:t xml:space="preserve">Consultation will be undertaken with the General Public for a period of </w:t>
      </w:r>
      <w:r w:rsidR="00BD3441" w:rsidRPr="008B498F">
        <w:t>six</w:t>
      </w:r>
      <w:r w:rsidR="0F9568D0" w:rsidRPr="008B498F">
        <w:t xml:space="preserve"> weeks in accordance with CIPFA Guidance.</w:t>
      </w:r>
    </w:p>
    <w:p w14:paraId="5DE2C1EF" w14:textId="77777777" w:rsidR="00F01CC2" w:rsidRPr="008B498F" w:rsidRDefault="00F01CC2" w:rsidP="00104315">
      <w:pPr>
        <w:ind w:left="709" w:right="386" w:hanging="709"/>
      </w:pPr>
    </w:p>
    <w:p w14:paraId="5F36E555" w14:textId="5580B8E0" w:rsidR="00F01CC2" w:rsidRPr="008B498F" w:rsidRDefault="00F01CC2" w:rsidP="00851939">
      <w:pPr>
        <w:pStyle w:val="ListParagraph"/>
        <w:numPr>
          <w:ilvl w:val="0"/>
          <w:numId w:val="53"/>
        </w:numPr>
        <w:ind w:left="709" w:right="386" w:hanging="709"/>
      </w:pPr>
      <w:r w:rsidRPr="008B498F">
        <w:t xml:space="preserve">The Local Government Act 2000 </w:t>
      </w:r>
      <w:r w:rsidR="059DFE09" w:rsidRPr="008B498F">
        <w:t xml:space="preserve">in particular Section 9 </w:t>
      </w:r>
      <w:r w:rsidRPr="008B498F">
        <w:t xml:space="preserve">states that it is the responsibility of the full council, on the recommendation of the </w:t>
      </w:r>
      <w:r w:rsidR="4350882F" w:rsidRPr="008B498F">
        <w:t>Cabinet</w:t>
      </w:r>
      <w:r w:rsidRPr="008B498F">
        <w:t xml:space="preserve"> to approve the budget and related council tax demand. </w:t>
      </w:r>
    </w:p>
    <w:p w14:paraId="5808E337" w14:textId="77777777" w:rsidR="00F01CC2" w:rsidRPr="008B498F" w:rsidRDefault="00F01CC2" w:rsidP="00104315">
      <w:pPr>
        <w:ind w:left="709" w:right="386" w:hanging="709"/>
      </w:pPr>
    </w:p>
    <w:p w14:paraId="6801A00D" w14:textId="6FFDF261" w:rsidR="00F01CC2" w:rsidRPr="008B498F" w:rsidRDefault="00F01CC2" w:rsidP="00851939">
      <w:pPr>
        <w:pStyle w:val="ListParagraph"/>
        <w:numPr>
          <w:ilvl w:val="0"/>
          <w:numId w:val="53"/>
        </w:numPr>
        <w:ind w:left="709" w:right="386" w:hanging="709"/>
      </w:pPr>
      <w:r w:rsidRPr="008B498F">
        <w:t xml:space="preserve">The Local Government Act 2003, section 25 requires the </w:t>
      </w:r>
      <w:r w:rsidR="2906DE4E" w:rsidRPr="008B498F">
        <w:t>C</w:t>
      </w:r>
      <w:r w:rsidRPr="008B498F">
        <w:t>ouncil’s Section151 Officer</w:t>
      </w:r>
      <w:r w:rsidRPr="008B498F">
        <w:rPr>
          <w:b/>
          <w:bCs/>
        </w:rPr>
        <w:t xml:space="preserve"> </w:t>
      </w:r>
      <w:r w:rsidRPr="008B498F">
        <w:t>to report to the council on the robustness of the estimates made and the adequacy of the proposed financial reserves assumed in the budget calculations. This will be done at Council in February 20</w:t>
      </w:r>
      <w:r w:rsidR="2906DE4E" w:rsidRPr="008B498F">
        <w:t>2</w:t>
      </w:r>
      <w:r w:rsidR="62471804" w:rsidRPr="008B498F">
        <w:t>5</w:t>
      </w:r>
      <w:r w:rsidRPr="008B498F">
        <w:t xml:space="preserve"> when the Budget is approved. </w:t>
      </w:r>
    </w:p>
    <w:p w14:paraId="21660238" w14:textId="77777777" w:rsidR="00F01CC2" w:rsidRPr="008B498F" w:rsidRDefault="00F01CC2" w:rsidP="00104315">
      <w:pPr>
        <w:ind w:left="709" w:right="386" w:hanging="709"/>
      </w:pPr>
    </w:p>
    <w:p w14:paraId="616FDC9C" w14:textId="77777777" w:rsidR="00F01CC2" w:rsidRPr="008B498F" w:rsidRDefault="00F01CC2" w:rsidP="00851939">
      <w:pPr>
        <w:pStyle w:val="ListParagraph"/>
        <w:numPr>
          <w:ilvl w:val="0"/>
          <w:numId w:val="53"/>
        </w:numPr>
        <w:ind w:left="709" w:right="386" w:hanging="709"/>
      </w:pPr>
      <w:r w:rsidRPr="008B498F">
        <w:t xml:space="preserve">Failure to set a legal budget may lead to intervention from the Secretary of State under section 15 of the Local Government Act </w:t>
      </w:r>
      <w:r w:rsidR="1F2437CE" w:rsidRPr="008B498F">
        <w:t>1999.</w:t>
      </w:r>
    </w:p>
    <w:p w14:paraId="1B6F2457" w14:textId="77777777" w:rsidR="00F01CC2" w:rsidRPr="008B498F" w:rsidRDefault="00F01CC2" w:rsidP="00D870B1">
      <w:pPr>
        <w:ind w:left="709" w:right="386" w:hanging="709"/>
      </w:pPr>
    </w:p>
    <w:p w14:paraId="11D1E504" w14:textId="77777777" w:rsidR="00506E70" w:rsidRPr="008B498F" w:rsidRDefault="00184310" w:rsidP="00D870B1">
      <w:pPr>
        <w:ind w:left="709" w:right="386" w:hanging="709"/>
        <w:rPr>
          <w:b/>
        </w:rPr>
      </w:pPr>
      <w:r w:rsidRPr="008B498F">
        <w:rPr>
          <w:b/>
        </w:rPr>
        <w:t>Ris</w:t>
      </w:r>
      <w:r w:rsidR="00506E70" w:rsidRPr="008B498F">
        <w:rPr>
          <w:b/>
        </w:rPr>
        <w:t>k Implications</w:t>
      </w:r>
    </w:p>
    <w:p w14:paraId="3C4B81E7" w14:textId="77777777" w:rsidR="00C8620D" w:rsidRPr="008B498F" w:rsidRDefault="00C8620D" w:rsidP="00D870B1">
      <w:pPr>
        <w:ind w:left="709" w:right="386" w:hanging="709"/>
      </w:pPr>
    </w:p>
    <w:p w14:paraId="37C33E48" w14:textId="77777777" w:rsidR="00564AEA" w:rsidRPr="008B498F" w:rsidRDefault="7EE4A6DB" w:rsidP="00851939">
      <w:pPr>
        <w:pStyle w:val="ListParagraph"/>
        <w:numPr>
          <w:ilvl w:val="0"/>
          <w:numId w:val="53"/>
        </w:numPr>
        <w:ind w:left="709" w:right="386" w:hanging="709"/>
      </w:pPr>
      <w:r w:rsidRPr="008B498F">
        <w:t xml:space="preserve">Detailed risks are shown in </w:t>
      </w:r>
      <w:r w:rsidR="159B4CF6" w:rsidRPr="008B498F">
        <w:t xml:space="preserve">Appendix </w:t>
      </w:r>
      <w:r w:rsidR="76757199" w:rsidRPr="008B498F">
        <w:t>8</w:t>
      </w:r>
      <w:r w:rsidR="159B4CF6" w:rsidRPr="008B498F">
        <w:t xml:space="preserve"> of the report</w:t>
      </w:r>
      <w:r w:rsidRPr="008B498F">
        <w:t xml:space="preserve">. </w:t>
      </w:r>
    </w:p>
    <w:p w14:paraId="4692E594" w14:textId="77777777" w:rsidR="002B7D72" w:rsidRPr="008B498F" w:rsidRDefault="002B7D72" w:rsidP="00104315">
      <w:pPr>
        <w:pStyle w:val="ListParagraph"/>
        <w:ind w:left="709" w:right="386" w:hanging="709"/>
        <w:jc w:val="both"/>
      </w:pPr>
    </w:p>
    <w:p w14:paraId="0C7E3995" w14:textId="77777777" w:rsidR="00404471" w:rsidRPr="008B498F" w:rsidRDefault="00404471" w:rsidP="00104315">
      <w:pPr>
        <w:ind w:left="709" w:right="386" w:hanging="709"/>
        <w:jc w:val="both"/>
        <w:rPr>
          <w:b/>
        </w:rPr>
      </w:pPr>
      <w:r w:rsidRPr="008B498F">
        <w:rPr>
          <w:b/>
        </w:rPr>
        <w:t>Equalities Impact Assessment</w:t>
      </w:r>
    </w:p>
    <w:p w14:paraId="30F1CE27" w14:textId="513843C4" w:rsidR="00404471" w:rsidRPr="008B498F" w:rsidRDefault="40A5FC8D" w:rsidP="00851939">
      <w:pPr>
        <w:pStyle w:val="ListParagraph"/>
        <w:numPr>
          <w:ilvl w:val="0"/>
          <w:numId w:val="53"/>
        </w:numPr>
        <w:ind w:left="709" w:right="386" w:hanging="709"/>
        <w:jc w:val="both"/>
      </w:pPr>
      <w:r w:rsidRPr="008B498F">
        <w:t>T</w:t>
      </w:r>
      <w:r w:rsidR="45335294" w:rsidRPr="008B498F">
        <w:t xml:space="preserve">hese are shown in Appendix </w:t>
      </w:r>
      <w:r w:rsidR="76757199" w:rsidRPr="008B498F">
        <w:t>9</w:t>
      </w:r>
      <w:r w:rsidR="45335294" w:rsidRPr="008B498F">
        <w:t xml:space="preserve"> of the report</w:t>
      </w:r>
      <w:r w:rsidR="006A3211" w:rsidRPr="008B498F">
        <w:t>.</w:t>
      </w:r>
    </w:p>
    <w:p w14:paraId="4E5AC2AA" w14:textId="77777777" w:rsidR="00607E30" w:rsidRPr="008B498F" w:rsidRDefault="00607E30" w:rsidP="00104315">
      <w:pPr>
        <w:pStyle w:val="ListParagraph"/>
        <w:ind w:left="709" w:right="386" w:hanging="709"/>
        <w:jc w:val="both"/>
      </w:pPr>
    </w:p>
    <w:p w14:paraId="3B6E5339" w14:textId="77777777" w:rsidR="00607E30" w:rsidRPr="008B498F" w:rsidRDefault="00607E30" w:rsidP="00607E30">
      <w:pPr>
        <w:pStyle w:val="ListParagraph"/>
        <w:ind w:left="709" w:right="386"/>
        <w:jc w:val="both"/>
      </w:pPr>
    </w:p>
    <w:p w14:paraId="127B84CE" w14:textId="77777777" w:rsidR="00607E30" w:rsidRPr="008B498F" w:rsidRDefault="00607E30" w:rsidP="00607E30">
      <w:pPr>
        <w:pStyle w:val="ListParagraph"/>
        <w:ind w:left="709" w:right="386"/>
        <w:jc w:val="both"/>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13675" w:rsidRPr="008B498F" w14:paraId="21539649" w14:textId="77777777">
        <w:tc>
          <w:tcPr>
            <w:tcW w:w="8522" w:type="dxa"/>
          </w:tcPr>
          <w:p w14:paraId="5B31D209" w14:textId="04BD850B" w:rsidR="00713675" w:rsidRPr="008B498F" w:rsidRDefault="00713675" w:rsidP="007C20F4">
            <w:pPr>
              <w:tabs>
                <w:tab w:val="left" w:pos="720"/>
                <w:tab w:val="left" w:pos="1440"/>
                <w:tab w:val="left" w:pos="2160"/>
                <w:tab w:val="left" w:pos="2880"/>
              </w:tabs>
              <w:ind w:right="386" w:firstLine="540"/>
              <w:rPr>
                <w:sz w:val="22"/>
                <w:szCs w:val="22"/>
              </w:rPr>
            </w:pPr>
            <w:r w:rsidRPr="008B498F">
              <w:rPr>
                <w:b/>
                <w:bCs/>
                <w:sz w:val="22"/>
                <w:szCs w:val="22"/>
              </w:rPr>
              <w:t xml:space="preserve">Name and contact details of </w:t>
            </w:r>
            <w:r w:rsidR="006A3211" w:rsidRPr="008B498F">
              <w:rPr>
                <w:b/>
                <w:bCs/>
                <w:sz w:val="22"/>
                <w:szCs w:val="22"/>
              </w:rPr>
              <w:t>author: -</w:t>
            </w:r>
          </w:p>
        </w:tc>
      </w:tr>
      <w:tr w:rsidR="00713675" w:rsidRPr="008B498F" w14:paraId="78C9D146" w14:textId="77777777">
        <w:tc>
          <w:tcPr>
            <w:tcW w:w="8522" w:type="dxa"/>
          </w:tcPr>
          <w:p w14:paraId="1EB94165" w14:textId="77777777" w:rsidR="00713675" w:rsidRPr="008B498F" w:rsidRDefault="00713675" w:rsidP="007C20F4">
            <w:pPr>
              <w:tabs>
                <w:tab w:val="left" w:pos="720"/>
                <w:tab w:val="left" w:pos="1440"/>
                <w:tab w:val="left" w:pos="2160"/>
                <w:tab w:val="left" w:pos="2880"/>
              </w:tabs>
              <w:ind w:right="386" w:firstLine="540"/>
            </w:pPr>
          </w:p>
          <w:p w14:paraId="440E6F1F" w14:textId="77777777" w:rsidR="00713675" w:rsidRPr="008B498F" w:rsidRDefault="00713675" w:rsidP="007C20F4">
            <w:pPr>
              <w:tabs>
                <w:tab w:val="left" w:pos="720"/>
                <w:tab w:val="left" w:pos="1440"/>
                <w:tab w:val="left" w:pos="2160"/>
                <w:tab w:val="left" w:pos="2880"/>
              </w:tabs>
              <w:ind w:right="386" w:firstLine="540"/>
            </w:pPr>
            <w:r w:rsidRPr="008B498F">
              <w:t>Name</w:t>
            </w:r>
            <w:r w:rsidR="007A7044" w:rsidRPr="008B498F">
              <w:t xml:space="preserve">    :    Nigel Kennedy</w:t>
            </w:r>
          </w:p>
        </w:tc>
      </w:tr>
      <w:tr w:rsidR="00713675" w:rsidRPr="008B498F" w14:paraId="32C72891" w14:textId="77777777">
        <w:tc>
          <w:tcPr>
            <w:tcW w:w="8522" w:type="dxa"/>
          </w:tcPr>
          <w:p w14:paraId="716E6289" w14:textId="589E7606" w:rsidR="00713675" w:rsidRPr="008B498F" w:rsidRDefault="00713675" w:rsidP="007C20F4">
            <w:pPr>
              <w:tabs>
                <w:tab w:val="left" w:pos="720"/>
                <w:tab w:val="left" w:pos="1440"/>
                <w:tab w:val="left" w:pos="2160"/>
                <w:tab w:val="left" w:pos="2880"/>
              </w:tabs>
              <w:ind w:right="386" w:firstLine="540"/>
            </w:pPr>
            <w:r w:rsidRPr="008B498F">
              <w:t>Job title</w:t>
            </w:r>
            <w:r w:rsidR="007A7044" w:rsidRPr="008B498F">
              <w:t xml:space="preserve">   :  </w:t>
            </w:r>
            <w:r w:rsidR="008B498F" w:rsidRPr="008B498F">
              <w:t>Group Finance Director (Section 151 Off</w:t>
            </w:r>
            <w:r w:rsidR="00172172">
              <w:t>i</w:t>
            </w:r>
            <w:r w:rsidR="008B498F" w:rsidRPr="008B498F">
              <w:t>cer)</w:t>
            </w:r>
          </w:p>
        </w:tc>
      </w:tr>
      <w:tr w:rsidR="00713675" w:rsidRPr="008B498F" w14:paraId="564154A0" w14:textId="77777777">
        <w:tc>
          <w:tcPr>
            <w:tcW w:w="8522" w:type="dxa"/>
          </w:tcPr>
          <w:p w14:paraId="1D6C13D3" w14:textId="77777777" w:rsidR="00713675" w:rsidRPr="008B498F" w:rsidRDefault="00713675" w:rsidP="007C20F4">
            <w:pPr>
              <w:tabs>
                <w:tab w:val="left" w:pos="720"/>
                <w:tab w:val="left" w:pos="1440"/>
                <w:tab w:val="left" w:pos="2160"/>
                <w:tab w:val="left" w:pos="2880"/>
              </w:tabs>
              <w:ind w:right="386" w:firstLine="540"/>
            </w:pPr>
            <w:r w:rsidRPr="008B498F">
              <w:t>Service Area / Department</w:t>
            </w:r>
            <w:r w:rsidR="007A7044" w:rsidRPr="008B498F">
              <w:t xml:space="preserve">   : Financ</w:t>
            </w:r>
            <w:r w:rsidR="00A17A6E" w:rsidRPr="008B498F">
              <w:t>ial Services</w:t>
            </w:r>
          </w:p>
        </w:tc>
      </w:tr>
      <w:tr w:rsidR="00713675" w:rsidRPr="00F81726" w14:paraId="11C892A9" w14:textId="77777777">
        <w:tc>
          <w:tcPr>
            <w:tcW w:w="8522" w:type="dxa"/>
          </w:tcPr>
          <w:p w14:paraId="23586933" w14:textId="77777777" w:rsidR="00713675" w:rsidRPr="00F81726" w:rsidRDefault="00713675" w:rsidP="007C20F4">
            <w:pPr>
              <w:tabs>
                <w:tab w:val="left" w:pos="720"/>
                <w:tab w:val="left" w:pos="1440"/>
                <w:tab w:val="left" w:pos="2160"/>
                <w:tab w:val="left" w:pos="2880"/>
              </w:tabs>
              <w:ind w:right="386" w:firstLine="540"/>
              <w:rPr>
                <w:color w:val="0000FF"/>
                <w:u w:val="single"/>
              </w:rPr>
            </w:pPr>
            <w:r w:rsidRPr="008B498F">
              <w:t xml:space="preserve">Tel:  01865 </w:t>
            </w:r>
            <w:r w:rsidR="007A7044" w:rsidRPr="008B498F">
              <w:t>252708</w:t>
            </w:r>
            <w:r w:rsidRPr="008B498F">
              <w:t xml:space="preserve">  e-mail:</w:t>
            </w:r>
            <w:r w:rsidR="007A7044" w:rsidRPr="008B498F">
              <w:t xml:space="preserve">   nkennedy@oxford.gov.uk</w:t>
            </w:r>
            <w:r w:rsidRPr="00F81726">
              <w:t xml:space="preserve">  </w:t>
            </w:r>
          </w:p>
        </w:tc>
      </w:tr>
    </w:tbl>
    <w:p w14:paraId="56AF1BA9" w14:textId="77777777" w:rsidR="00F4367A" w:rsidRPr="00F81726" w:rsidRDefault="00F4367A" w:rsidP="0023288D">
      <w:pPr>
        <w:ind w:right="386" w:firstLine="540"/>
        <w:rPr>
          <w:rFonts w:cs="Arial"/>
          <w:b/>
          <w:bCs/>
          <w:sz w:val="22"/>
          <w:szCs w:val="22"/>
        </w:rPr>
      </w:pPr>
    </w:p>
    <w:sectPr w:rsidR="00F4367A" w:rsidRPr="00F81726" w:rsidSect="00B31981">
      <w:footerReference w:type="default" r:id="rId23"/>
      <w:pgSz w:w="11906" w:h="16838"/>
      <w:pgMar w:top="851" w:right="720" w:bottom="1440" w:left="1560" w:header="708" w:footer="6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9C2D0" w14:textId="77777777" w:rsidR="007E5886" w:rsidRDefault="007E5886">
      <w:r>
        <w:separator/>
      </w:r>
    </w:p>
  </w:endnote>
  <w:endnote w:type="continuationSeparator" w:id="0">
    <w:p w14:paraId="47CF1148" w14:textId="77777777" w:rsidR="007E5886" w:rsidRDefault="007E5886">
      <w:r>
        <w:continuationSeparator/>
      </w:r>
    </w:p>
  </w:endnote>
  <w:endnote w:type="continuationNotice" w:id="1">
    <w:p w14:paraId="67E8581B" w14:textId="77777777" w:rsidR="007E5886" w:rsidRDefault="007E5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S Me">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BC6A" w14:textId="77777777" w:rsidR="008F58BB" w:rsidRPr="001D016D" w:rsidRDefault="008F58BB" w:rsidP="001D016D">
    <w:pPr>
      <w:pStyle w:val="Footer"/>
      <w:jc w:val="right"/>
      <w:rPr>
        <w:sz w:val="16"/>
        <w:szCs w:val="16"/>
      </w:rPr>
    </w:pPr>
    <w:r w:rsidRPr="001D016D">
      <w:rPr>
        <w:sz w:val="16"/>
        <w:szCs w:val="16"/>
      </w:rPr>
      <w:t xml:space="preserve">Page </w:t>
    </w:r>
    <w:r w:rsidRPr="001D016D">
      <w:rPr>
        <w:sz w:val="16"/>
        <w:szCs w:val="16"/>
      </w:rPr>
      <w:fldChar w:fldCharType="begin"/>
    </w:r>
    <w:r w:rsidRPr="001D016D">
      <w:rPr>
        <w:sz w:val="16"/>
        <w:szCs w:val="16"/>
      </w:rPr>
      <w:instrText xml:space="preserve"> PAGE </w:instrText>
    </w:r>
    <w:r w:rsidRPr="001D016D">
      <w:rPr>
        <w:sz w:val="16"/>
        <w:szCs w:val="16"/>
      </w:rPr>
      <w:fldChar w:fldCharType="separate"/>
    </w:r>
    <w:r w:rsidR="001703BF">
      <w:rPr>
        <w:noProof/>
        <w:sz w:val="16"/>
        <w:szCs w:val="16"/>
      </w:rPr>
      <w:t>5</w:t>
    </w:r>
    <w:r w:rsidRPr="001D016D">
      <w:rPr>
        <w:sz w:val="16"/>
        <w:szCs w:val="16"/>
      </w:rPr>
      <w:fldChar w:fldCharType="end"/>
    </w:r>
    <w:r w:rsidRPr="001D016D">
      <w:rPr>
        <w:sz w:val="16"/>
        <w:szCs w:val="16"/>
      </w:rPr>
      <w:t xml:space="preserve"> of </w:t>
    </w:r>
    <w:r w:rsidRPr="001D016D">
      <w:rPr>
        <w:sz w:val="16"/>
        <w:szCs w:val="16"/>
      </w:rPr>
      <w:fldChar w:fldCharType="begin"/>
    </w:r>
    <w:r w:rsidRPr="001D016D">
      <w:rPr>
        <w:sz w:val="16"/>
        <w:szCs w:val="16"/>
      </w:rPr>
      <w:instrText xml:space="preserve"> NUMPAGES </w:instrText>
    </w:r>
    <w:r w:rsidRPr="001D016D">
      <w:rPr>
        <w:sz w:val="16"/>
        <w:szCs w:val="16"/>
      </w:rPr>
      <w:fldChar w:fldCharType="separate"/>
    </w:r>
    <w:r w:rsidR="001703BF">
      <w:rPr>
        <w:noProof/>
        <w:sz w:val="16"/>
        <w:szCs w:val="16"/>
      </w:rPr>
      <w:t>35</w:t>
    </w:r>
    <w:r w:rsidRPr="001D016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D985A" w14:textId="77777777" w:rsidR="007E5886" w:rsidRDefault="007E5886">
      <w:r>
        <w:separator/>
      </w:r>
    </w:p>
  </w:footnote>
  <w:footnote w:type="continuationSeparator" w:id="0">
    <w:p w14:paraId="156689E2" w14:textId="77777777" w:rsidR="007E5886" w:rsidRDefault="007E5886">
      <w:r>
        <w:continuationSeparator/>
      </w:r>
    </w:p>
  </w:footnote>
  <w:footnote w:type="continuationNotice" w:id="1">
    <w:p w14:paraId="1E5984FF" w14:textId="77777777" w:rsidR="007E5886" w:rsidRDefault="007E58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D4B"/>
    <w:multiLevelType w:val="multilevel"/>
    <w:tmpl w:val="14E8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76A29"/>
    <w:multiLevelType w:val="multilevel"/>
    <w:tmpl w:val="5704AA1A"/>
    <w:lvl w:ilvl="0">
      <w:start w:val="1"/>
      <w:numFmt w:val="decimal"/>
      <w:pStyle w:val="Level1"/>
      <w:lvlText w:val="%1."/>
      <w:lvlJc w:val="left"/>
      <w:pPr>
        <w:tabs>
          <w:tab w:val="num" w:pos="1341"/>
        </w:tabs>
        <w:ind w:left="1341" w:hanging="1200"/>
      </w:pPr>
      <w:rPr>
        <w:b w:val="0"/>
        <w:i w:val="0"/>
        <w:caps w:val="0"/>
        <w:strike w:val="0"/>
        <w:dstrike w:val="0"/>
        <w:vanish w:val="0"/>
        <w:webHidden w:val="0"/>
        <w:color w:val="0071BD"/>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200"/>
        </w:tabs>
        <w:ind w:left="1200" w:hanging="1200"/>
      </w:pPr>
    </w:lvl>
    <w:lvl w:ilvl="2">
      <w:start w:val="1"/>
      <w:numFmt w:val="decimal"/>
      <w:lvlText w:val="%1.%2.%3."/>
      <w:lvlJc w:val="left"/>
      <w:pPr>
        <w:tabs>
          <w:tab w:val="num" w:pos="1200"/>
        </w:tabs>
        <w:ind w:left="1200" w:hanging="1200"/>
      </w:pPr>
      <w:rPr>
        <w:b w:val="0"/>
        <w:i w:val="0"/>
        <w:caps w:val="0"/>
        <w:strike w:val="0"/>
        <w:dstrike w:val="0"/>
        <w:vanish w:val="0"/>
        <w:webHidden w:val="0"/>
        <w:color w:val="323232"/>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800"/>
        </w:tabs>
        <w:ind w:left="800" w:hanging="400"/>
      </w:pPr>
      <w:rPr>
        <w:rFonts w:ascii="Symbol" w:hAnsi="Symbol" w:hint="default"/>
        <w:color w:val="auto"/>
      </w:r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 w15:restartNumberingAfterBreak="0">
    <w:nsid w:val="03102E3C"/>
    <w:multiLevelType w:val="hybridMultilevel"/>
    <w:tmpl w:val="EF42605E"/>
    <w:lvl w:ilvl="0" w:tplc="49721C6A">
      <w:start w:val="5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2555DC"/>
    <w:multiLevelType w:val="multilevel"/>
    <w:tmpl w:val="3294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923219"/>
    <w:multiLevelType w:val="hybridMultilevel"/>
    <w:tmpl w:val="3116A4EA"/>
    <w:lvl w:ilvl="0" w:tplc="739A7B16">
      <w:start w:val="52"/>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7D1F0F"/>
    <w:multiLevelType w:val="hybridMultilevel"/>
    <w:tmpl w:val="8F566F30"/>
    <w:lvl w:ilvl="0" w:tplc="08090017">
      <w:start w:val="1"/>
      <w:numFmt w:val="lowerLetter"/>
      <w:lvlText w:val="%1)"/>
      <w:lvlJc w:val="left"/>
      <w:pPr>
        <w:tabs>
          <w:tab w:val="num" w:pos="1495"/>
        </w:tabs>
        <w:ind w:left="1495" w:hanging="360"/>
      </w:pPr>
      <w:rPr>
        <w:rFonts w:hint="default"/>
      </w:rPr>
    </w:lvl>
    <w:lvl w:ilvl="1" w:tplc="08090003" w:tentative="1">
      <w:start w:val="1"/>
      <w:numFmt w:val="bullet"/>
      <w:lvlText w:val="o"/>
      <w:lvlJc w:val="left"/>
      <w:pPr>
        <w:tabs>
          <w:tab w:val="num" w:pos="2215"/>
        </w:tabs>
        <w:ind w:left="2215" w:hanging="360"/>
      </w:pPr>
      <w:rPr>
        <w:rFonts w:ascii="Courier New" w:hAnsi="Courier New" w:cs="Courier New" w:hint="default"/>
      </w:rPr>
    </w:lvl>
    <w:lvl w:ilvl="2" w:tplc="08090005" w:tentative="1">
      <w:start w:val="1"/>
      <w:numFmt w:val="bullet"/>
      <w:lvlText w:val=""/>
      <w:lvlJc w:val="left"/>
      <w:pPr>
        <w:tabs>
          <w:tab w:val="num" w:pos="2935"/>
        </w:tabs>
        <w:ind w:left="2935" w:hanging="360"/>
      </w:pPr>
      <w:rPr>
        <w:rFonts w:ascii="Wingdings" w:hAnsi="Wingdings" w:hint="default"/>
      </w:rPr>
    </w:lvl>
    <w:lvl w:ilvl="3" w:tplc="08090001" w:tentative="1">
      <w:start w:val="1"/>
      <w:numFmt w:val="bullet"/>
      <w:lvlText w:val=""/>
      <w:lvlJc w:val="left"/>
      <w:pPr>
        <w:tabs>
          <w:tab w:val="num" w:pos="3655"/>
        </w:tabs>
        <w:ind w:left="3655" w:hanging="360"/>
      </w:pPr>
      <w:rPr>
        <w:rFonts w:ascii="Symbol" w:hAnsi="Symbol" w:hint="default"/>
      </w:rPr>
    </w:lvl>
    <w:lvl w:ilvl="4" w:tplc="08090003" w:tentative="1">
      <w:start w:val="1"/>
      <w:numFmt w:val="bullet"/>
      <w:lvlText w:val="o"/>
      <w:lvlJc w:val="left"/>
      <w:pPr>
        <w:tabs>
          <w:tab w:val="num" w:pos="4375"/>
        </w:tabs>
        <w:ind w:left="4375" w:hanging="360"/>
      </w:pPr>
      <w:rPr>
        <w:rFonts w:ascii="Courier New" w:hAnsi="Courier New" w:cs="Courier New" w:hint="default"/>
      </w:rPr>
    </w:lvl>
    <w:lvl w:ilvl="5" w:tplc="08090005" w:tentative="1">
      <w:start w:val="1"/>
      <w:numFmt w:val="bullet"/>
      <w:lvlText w:val=""/>
      <w:lvlJc w:val="left"/>
      <w:pPr>
        <w:tabs>
          <w:tab w:val="num" w:pos="5095"/>
        </w:tabs>
        <w:ind w:left="5095" w:hanging="360"/>
      </w:pPr>
      <w:rPr>
        <w:rFonts w:ascii="Wingdings" w:hAnsi="Wingdings" w:hint="default"/>
      </w:rPr>
    </w:lvl>
    <w:lvl w:ilvl="6" w:tplc="08090001" w:tentative="1">
      <w:start w:val="1"/>
      <w:numFmt w:val="bullet"/>
      <w:lvlText w:val=""/>
      <w:lvlJc w:val="left"/>
      <w:pPr>
        <w:tabs>
          <w:tab w:val="num" w:pos="5815"/>
        </w:tabs>
        <w:ind w:left="5815" w:hanging="360"/>
      </w:pPr>
      <w:rPr>
        <w:rFonts w:ascii="Symbol" w:hAnsi="Symbol" w:hint="default"/>
      </w:rPr>
    </w:lvl>
    <w:lvl w:ilvl="7" w:tplc="08090003" w:tentative="1">
      <w:start w:val="1"/>
      <w:numFmt w:val="bullet"/>
      <w:lvlText w:val="o"/>
      <w:lvlJc w:val="left"/>
      <w:pPr>
        <w:tabs>
          <w:tab w:val="num" w:pos="6535"/>
        </w:tabs>
        <w:ind w:left="6535" w:hanging="360"/>
      </w:pPr>
      <w:rPr>
        <w:rFonts w:ascii="Courier New" w:hAnsi="Courier New" w:cs="Courier New" w:hint="default"/>
      </w:rPr>
    </w:lvl>
    <w:lvl w:ilvl="8" w:tplc="08090005" w:tentative="1">
      <w:start w:val="1"/>
      <w:numFmt w:val="bullet"/>
      <w:lvlText w:val=""/>
      <w:lvlJc w:val="left"/>
      <w:pPr>
        <w:tabs>
          <w:tab w:val="num" w:pos="7255"/>
        </w:tabs>
        <w:ind w:left="7255" w:hanging="360"/>
      </w:pPr>
      <w:rPr>
        <w:rFonts w:ascii="Wingdings" w:hAnsi="Wingdings" w:hint="default"/>
      </w:rPr>
    </w:lvl>
  </w:abstractNum>
  <w:abstractNum w:abstractNumId="6" w15:restartNumberingAfterBreak="0">
    <w:nsid w:val="08D15BE1"/>
    <w:multiLevelType w:val="hybridMultilevel"/>
    <w:tmpl w:val="E054921E"/>
    <w:lvl w:ilvl="0" w:tplc="08090017">
      <w:start w:val="1"/>
      <w:numFmt w:val="lowerLetter"/>
      <w:lvlText w:val="%1)"/>
      <w:lvlJc w:val="left"/>
      <w:pPr>
        <w:ind w:left="744" w:hanging="360"/>
      </w:pPr>
      <w:rPr>
        <w:rFonts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7" w15:restartNumberingAfterBreak="0">
    <w:nsid w:val="0A813975"/>
    <w:multiLevelType w:val="hybridMultilevel"/>
    <w:tmpl w:val="391694D8"/>
    <w:lvl w:ilvl="0" w:tplc="FF1430F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125D2A"/>
    <w:multiLevelType w:val="hybridMultilevel"/>
    <w:tmpl w:val="AF68DE84"/>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406DC7E">
      <w:start w:val="71"/>
      <w:numFmt w:val="decimal"/>
      <w:lvlText w:val="%3"/>
      <w:lvlJc w:val="left"/>
      <w:pPr>
        <w:ind w:left="2520" w:hanging="360"/>
      </w:pPr>
      <w:rPr>
        <w:rFonts w:eastAsia="Calibri"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B557113"/>
    <w:multiLevelType w:val="hybridMultilevel"/>
    <w:tmpl w:val="72EAFC98"/>
    <w:lvl w:ilvl="0" w:tplc="D91220C8">
      <w:start w:val="1"/>
      <w:numFmt w:val="bullet"/>
      <w:lvlText w:val=""/>
      <w:lvlJc w:val="left"/>
      <w:pPr>
        <w:ind w:left="1080" w:hanging="360"/>
      </w:pPr>
      <w:rPr>
        <w:rFonts w:ascii="Symbol" w:hAnsi="Symbol" w:hint="default"/>
      </w:rPr>
    </w:lvl>
    <w:lvl w:ilvl="1" w:tplc="E85A79E4" w:tentative="1">
      <w:start w:val="1"/>
      <w:numFmt w:val="bullet"/>
      <w:lvlText w:val="o"/>
      <w:lvlJc w:val="left"/>
      <w:pPr>
        <w:ind w:left="1800" w:hanging="360"/>
      </w:pPr>
      <w:rPr>
        <w:rFonts w:ascii="Courier New" w:hAnsi="Courier New" w:hint="default"/>
      </w:rPr>
    </w:lvl>
    <w:lvl w:ilvl="2" w:tplc="C0CCEF32" w:tentative="1">
      <w:start w:val="1"/>
      <w:numFmt w:val="bullet"/>
      <w:lvlText w:val=""/>
      <w:lvlJc w:val="left"/>
      <w:pPr>
        <w:ind w:left="2520" w:hanging="360"/>
      </w:pPr>
      <w:rPr>
        <w:rFonts w:ascii="Wingdings" w:hAnsi="Wingdings" w:hint="default"/>
      </w:rPr>
    </w:lvl>
    <w:lvl w:ilvl="3" w:tplc="19809698" w:tentative="1">
      <w:start w:val="1"/>
      <w:numFmt w:val="bullet"/>
      <w:lvlText w:val=""/>
      <w:lvlJc w:val="left"/>
      <w:pPr>
        <w:ind w:left="3240" w:hanging="360"/>
      </w:pPr>
      <w:rPr>
        <w:rFonts w:ascii="Symbol" w:hAnsi="Symbol" w:hint="default"/>
      </w:rPr>
    </w:lvl>
    <w:lvl w:ilvl="4" w:tplc="CA606796" w:tentative="1">
      <w:start w:val="1"/>
      <w:numFmt w:val="bullet"/>
      <w:lvlText w:val="o"/>
      <w:lvlJc w:val="left"/>
      <w:pPr>
        <w:ind w:left="3960" w:hanging="360"/>
      </w:pPr>
      <w:rPr>
        <w:rFonts w:ascii="Courier New" w:hAnsi="Courier New" w:hint="default"/>
      </w:rPr>
    </w:lvl>
    <w:lvl w:ilvl="5" w:tplc="777EB36C" w:tentative="1">
      <w:start w:val="1"/>
      <w:numFmt w:val="bullet"/>
      <w:lvlText w:val=""/>
      <w:lvlJc w:val="left"/>
      <w:pPr>
        <w:ind w:left="4680" w:hanging="360"/>
      </w:pPr>
      <w:rPr>
        <w:rFonts w:ascii="Wingdings" w:hAnsi="Wingdings" w:hint="default"/>
      </w:rPr>
    </w:lvl>
    <w:lvl w:ilvl="6" w:tplc="ED72B98A" w:tentative="1">
      <w:start w:val="1"/>
      <w:numFmt w:val="bullet"/>
      <w:lvlText w:val=""/>
      <w:lvlJc w:val="left"/>
      <w:pPr>
        <w:ind w:left="5400" w:hanging="360"/>
      </w:pPr>
      <w:rPr>
        <w:rFonts w:ascii="Symbol" w:hAnsi="Symbol" w:hint="default"/>
      </w:rPr>
    </w:lvl>
    <w:lvl w:ilvl="7" w:tplc="54CEFA0E" w:tentative="1">
      <w:start w:val="1"/>
      <w:numFmt w:val="bullet"/>
      <w:lvlText w:val="o"/>
      <w:lvlJc w:val="left"/>
      <w:pPr>
        <w:ind w:left="6120" w:hanging="360"/>
      </w:pPr>
      <w:rPr>
        <w:rFonts w:ascii="Courier New" w:hAnsi="Courier New" w:hint="default"/>
      </w:rPr>
    </w:lvl>
    <w:lvl w:ilvl="8" w:tplc="7E4EE972" w:tentative="1">
      <w:start w:val="1"/>
      <w:numFmt w:val="bullet"/>
      <w:lvlText w:val=""/>
      <w:lvlJc w:val="left"/>
      <w:pPr>
        <w:ind w:left="6840" w:hanging="360"/>
      </w:pPr>
      <w:rPr>
        <w:rFonts w:ascii="Wingdings" w:hAnsi="Wingdings" w:hint="default"/>
      </w:rPr>
    </w:lvl>
  </w:abstractNum>
  <w:abstractNum w:abstractNumId="10" w15:restartNumberingAfterBreak="0">
    <w:nsid w:val="0C4A2950"/>
    <w:multiLevelType w:val="hybridMultilevel"/>
    <w:tmpl w:val="17F6A868"/>
    <w:lvl w:ilvl="0" w:tplc="020832EE">
      <w:start w:val="55"/>
      <w:numFmt w:val="decimal"/>
      <w:lvlText w:val="%1."/>
      <w:lvlJc w:val="left"/>
      <w:pPr>
        <w:ind w:left="8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3E22B3"/>
    <w:multiLevelType w:val="hybridMultilevel"/>
    <w:tmpl w:val="E5A80442"/>
    <w:lvl w:ilvl="0" w:tplc="BED0B16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10A37DEE"/>
    <w:multiLevelType w:val="hybridMultilevel"/>
    <w:tmpl w:val="27E4D872"/>
    <w:lvl w:ilvl="0" w:tplc="21BCA9D2">
      <w:start w:val="1"/>
      <w:numFmt w:val="lowerLetter"/>
      <w:lvlText w:val="%1)"/>
      <w:lvlJc w:val="left"/>
      <w:pPr>
        <w:tabs>
          <w:tab w:val="num" w:pos="1080"/>
        </w:tabs>
        <w:ind w:left="1080" w:hanging="360"/>
      </w:pPr>
      <w:rPr>
        <w:rFonts w:hint="default"/>
        <w:color w:val="000000" w:themeColor="text1"/>
      </w:rPr>
    </w:lvl>
    <w:lvl w:ilvl="1" w:tplc="08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14527F1"/>
    <w:multiLevelType w:val="hybridMultilevel"/>
    <w:tmpl w:val="A04C2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E360CF"/>
    <w:multiLevelType w:val="hybridMultilevel"/>
    <w:tmpl w:val="97AC1D66"/>
    <w:lvl w:ilvl="0" w:tplc="08090001">
      <w:start w:val="1"/>
      <w:numFmt w:val="bullet"/>
      <w:lvlText w:val=""/>
      <w:lvlJc w:val="left"/>
      <w:pPr>
        <w:ind w:left="1080" w:hanging="72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1786E1FE">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144298"/>
    <w:multiLevelType w:val="hybridMultilevel"/>
    <w:tmpl w:val="EBE4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565925"/>
    <w:multiLevelType w:val="multilevel"/>
    <w:tmpl w:val="E60884E2"/>
    <w:lvl w:ilvl="0">
      <w:start w:val="1"/>
      <w:numFmt w:val="decimal"/>
      <w:lvlText w:val="%1."/>
      <w:lvlJc w:val="left"/>
      <w:pPr>
        <w:tabs>
          <w:tab w:val="num" w:pos="576"/>
        </w:tabs>
        <w:ind w:left="576" w:hanging="576"/>
      </w:pPr>
      <w:rPr>
        <w:rFonts w:hint="default"/>
      </w:rPr>
    </w:lvl>
    <w:lvl w:ilvl="1">
      <w:start w:val="1"/>
      <w:numFmt w:val="decimal"/>
      <w:pStyle w:val="ReportPara"/>
      <w:lvlText w:val="%1.%2."/>
      <w:lvlJc w:val="left"/>
      <w:pPr>
        <w:tabs>
          <w:tab w:val="num" w:pos="1702"/>
        </w:tabs>
        <w:ind w:left="1702" w:hanging="1134"/>
      </w:pPr>
      <w:rPr>
        <w:rFonts w:ascii="Gill Sans MT" w:hAnsi="Gill Sans MT" w:hint="default"/>
        <w:b w:val="0"/>
        <w:i w:val="0"/>
        <w:sz w:val="24"/>
        <w:szCs w:val="24"/>
      </w:rPr>
    </w:lvl>
    <w:lvl w:ilvl="2">
      <w:start w:val="1"/>
      <w:numFmt w:val="decimal"/>
      <w:lvlText w:val="%1.%2.%3."/>
      <w:lvlJc w:val="left"/>
      <w:pPr>
        <w:tabs>
          <w:tab w:val="num" w:pos="1134"/>
        </w:tabs>
        <w:ind w:left="1134" w:hanging="1134"/>
      </w:pPr>
      <w:rPr>
        <w:rFonts w:hint="default"/>
      </w:rPr>
    </w:lvl>
    <w:lvl w:ilvl="3">
      <w:start w:val="1"/>
      <w:numFmt w:val="lowerRoman"/>
      <w:lvlText w:val="%4."/>
      <w:lvlJc w:val="left"/>
      <w:pPr>
        <w:tabs>
          <w:tab w:val="num" w:pos="1728"/>
        </w:tabs>
        <w:ind w:left="1728" w:hanging="5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1C9B0E98"/>
    <w:multiLevelType w:val="hybridMultilevel"/>
    <w:tmpl w:val="C9C8BA26"/>
    <w:lvl w:ilvl="0" w:tplc="19D0AE5A">
      <w:start w:val="72"/>
      <w:numFmt w:val="decimal"/>
      <w:lvlText w:val="%1."/>
      <w:lvlJc w:val="left"/>
      <w:pPr>
        <w:ind w:left="9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6F2A9A"/>
    <w:multiLevelType w:val="multilevel"/>
    <w:tmpl w:val="4372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EC45AD"/>
    <w:multiLevelType w:val="hybridMultilevel"/>
    <w:tmpl w:val="630E93CE"/>
    <w:lvl w:ilvl="0" w:tplc="B50ACFFC">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F7451D"/>
    <w:multiLevelType w:val="multilevel"/>
    <w:tmpl w:val="6CFC7350"/>
    <w:lvl w:ilvl="0">
      <w:start w:val="1"/>
      <w:numFmt w:val="decimal"/>
      <w:pStyle w:val="11"/>
      <w:lvlText w:val="1.%1"/>
      <w:lvlJc w:val="left"/>
      <w:pPr>
        <w:tabs>
          <w:tab w:val="num" w:pos="720"/>
        </w:tabs>
        <w:ind w:left="720" w:hanging="720"/>
      </w:pPr>
      <w:rPr>
        <w:rFonts w:asciiTheme="minorHAnsi" w:hAnsiTheme="minorHAnsi" w:hint="default"/>
        <w:sz w:val="22"/>
        <w:szCs w:val="22"/>
      </w:rPr>
    </w:lvl>
    <w:lvl w:ilvl="1">
      <w:start w:val="1"/>
      <w:numFmt w:val="bullet"/>
      <w:lvlText w:val=""/>
      <w:lvlJc w:val="left"/>
      <w:pPr>
        <w:tabs>
          <w:tab w:val="num" w:pos="792"/>
        </w:tabs>
        <w:ind w:left="792" w:hanging="432"/>
      </w:pPr>
      <w:rPr>
        <w:rFonts w:ascii="Symbol" w:hAnsi="Symbol"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F8968FD"/>
    <w:multiLevelType w:val="hybridMultilevel"/>
    <w:tmpl w:val="4204F472"/>
    <w:lvl w:ilvl="0" w:tplc="21E485F0">
      <w:start w:val="82"/>
      <w:numFmt w:val="decimal"/>
      <w:lvlText w:val="%1."/>
      <w:lvlJc w:val="left"/>
      <w:pPr>
        <w:ind w:left="9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57CF90"/>
    <w:multiLevelType w:val="hybridMultilevel"/>
    <w:tmpl w:val="71C40B14"/>
    <w:lvl w:ilvl="0" w:tplc="44E0C1EA">
      <w:start w:val="1"/>
      <w:numFmt w:val="bullet"/>
      <w:lvlText w:val=""/>
      <w:lvlJc w:val="left"/>
      <w:pPr>
        <w:ind w:left="3141" w:hanging="360"/>
      </w:pPr>
      <w:rPr>
        <w:rFonts w:ascii="Symbol" w:hAnsi="Symbol" w:hint="default"/>
      </w:rPr>
    </w:lvl>
    <w:lvl w:ilvl="1" w:tplc="E0C8DA48">
      <w:start w:val="1"/>
      <w:numFmt w:val="bullet"/>
      <w:lvlText w:val="o"/>
      <w:lvlJc w:val="left"/>
      <w:pPr>
        <w:ind w:left="3861" w:hanging="360"/>
      </w:pPr>
      <w:rPr>
        <w:rFonts w:ascii="Courier New" w:hAnsi="Courier New" w:hint="default"/>
      </w:rPr>
    </w:lvl>
    <w:lvl w:ilvl="2" w:tplc="73E49664">
      <w:start w:val="1"/>
      <w:numFmt w:val="bullet"/>
      <w:lvlText w:val=""/>
      <w:lvlJc w:val="left"/>
      <w:pPr>
        <w:ind w:left="4581" w:hanging="360"/>
      </w:pPr>
      <w:rPr>
        <w:rFonts w:ascii="Wingdings" w:hAnsi="Wingdings" w:hint="default"/>
      </w:rPr>
    </w:lvl>
    <w:lvl w:ilvl="3" w:tplc="00563D36">
      <w:start w:val="1"/>
      <w:numFmt w:val="bullet"/>
      <w:lvlText w:val=""/>
      <w:lvlJc w:val="left"/>
      <w:pPr>
        <w:ind w:left="5301" w:hanging="360"/>
      </w:pPr>
      <w:rPr>
        <w:rFonts w:ascii="Symbol" w:hAnsi="Symbol" w:hint="default"/>
      </w:rPr>
    </w:lvl>
    <w:lvl w:ilvl="4" w:tplc="994ECB3C">
      <w:start w:val="1"/>
      <w:numFmt w:val="bullet"/>
      <w:lvlText w:val="o"/>
      <w:lvlJc w:val="left"/>
      <w:pPr>
        <w:ind w:left="6021" w:hanging="360"/>
      </w:pPr>
      <w:rPr>
        <w:rFonts w:ascii="Courier New" w:hAnsi="Courier New" w:hint="default"/>
      </w:rPr>
    </w:lvl>
    <w:lvl w:ilvl="5" w:tplc="7A801634">
      <w:start w:val="1"/>
      <w:numFmt w:val="bullet"/>
      <w:lvlText w:val=""/>
      <w:lvlJc w:val="left"/>
      <w:pPr>
        <w:ind w:left="6741" w:hanging="360"/>
      </w:pPr>
      <w:rPr>
        <w:rFonts w:ascii="Wingdings" w:hAnsi="Wingdings" w:hint="default"/>
      </w:rPr>
    </w:lvl>
    <w:lvl w:ilvl="6" w:tplc="4AAC10E4">
      <w:start w:val="1"/>
      <w:numFmt w:val="bullet"/>
      <w:lvlText w:val=""/>
      <w:lvlJc w:val="left"/>
      <w:pPr>
        <w:ind w:left="7461" w:hanging="360"/>
      </w:pPr>
      <w:rPr>
        <w:rFonts w:ascii="Symbol" w:hAnsi="Symbol" w:hint="default"/>
      </w:rPr>
    </w:lvl>
    <w:lvl w:ilvl="7" w:tplc="3BA2471A">
      <w:start w:val="1"/>
      <w:numFmt w:val="bullet"/>
      <w:lvlText w:val="o"/>
      <w:lvlJc w:val="left"/>
      <w:pPr>
        <w:ind w:left="8181" w:hanging="360"/>
      </w:pPr>
      <w:rPr>
        <w:rFonts w:ascii="Courier New" w:hAnsi="Courier New" w:hint="default"/>
      </w:rPr>
    </w:lvl>
    <w:lvl w:ilvl="8" w:tplc="38EC2AEE">
      <w:start w:val="1"/>
      <w:numFmt w:val="bullet"/>
      <w:lvlText w:val=""/>
      <w:lvlJc w:val="left"/>
      <w:pPr>
        <w:ind w:left="8901" w:hanging="360"/>
      </w:pPr>
      <w:rPr>
        <w:rFonts w:ascii="Wingdings" w:hAnsi="Wingdings" w:hint="default"/>
      </w:rPr>
    </w:lvl>
  </w:abstractNum>
  <w:abstractNum w:abstractNumId="23" w15:restartNumberingAfterBreak="0">
    <w:nsid w:val="35E41A84"/>
    <w:multiLevelType w:val="hybridMultilevel"/>
    <w:tmpl w:val="60F884A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8333EF2"/>
    <w:multiLevelType w:val="hybridMultilevel"/>
    <w:tmpl w:val="B72249FE"/>
    <w:lvl w:ilvl="0" w:tplc="984E5504">
      <w:start w:val="10"/>
      <w:numFmt w:val="decimal"/>
      <w:lvlText w:val="%1."/>
      <w:lvlJc w:val="left"/>
      <w:pPr>
        <w:ind w:left="786"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146370"/>
    <w:multiLevelType w:val="hybridMultilevel"/>
    <w:tmpl w:val="1850F454"/>
    <w:lvl w:ilvl="0" w:tplc="B46C056E">
      <w:start w:val="43"/>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7233EF"/>
    <w:multiLevelType w:val="hybridMultilevel"/>
    <w:tmpl w:val="2F1CA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BE04606"/>
    <w:multiLevelType w:val="hybridMultilevel"/>
    <w:tmpl w:val="4BC654C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8" w15:restartNumberingAfterBreak="0">
    <w:nsid w:val="3D2A3E06"/>
    <w:multiLevelType w:val="hybridMultilevel"/>
    <w:tmpl w:val="99283422"/>
    <w:lvl w:ilvl="0" w:tplc="5FCECD98">
      <w:start w:val="1"/>
      <w:numFmt w:val="lowerLetter"/>
      <w:lvlText w:val="%1)"/>
      <w:lvlJc w:val="left"/>
      <w:pPr>
        <w:ind w:left="861" w:hanging="360"/>
      </w:pPr>
    </w:lvl>
    <w:lvl w:ilvl="1" w:tplc="C3425A46">
      <w:start w:val="1"/>
      <w:numFmt w:val="lowerLetter"/>
      <w:lvlText w:val="%2."/>
      <w:lvlJc w:val="left"/>
      <w:pPr>
        <w:ind w:left="1581" w:hanging="360"/>
      </w:pPr>
    </w:lvl>
    <w:lvl w:ilvl="2" w:tplc="83CC9B0C">
      <w:start w:val="1"/>
      <w:numFmt w:val="lowerRoman"/>
      <w:lvlText w:val="%3."/>
      <w:lvlJc w:val="right"/>
      <w:pPr>
        <w:ind w:left="2301" w:hanging="180"/>
      </w:pPr>
    </w:lvl>
    <w:lvl w:ilvl="3" w:tplc="B2306AD0">
      <w:start w:val="1"/>
      <w:numFmt w:val="decimal"/>
      <w:lvlText w:val="%4."/>
      <w:lvlJc w:val="left"/>
      <w:pPr>
        <w:ind w:left="3021" w:hanging="360"/>
      </w:pPr>
    </w:lvl>
    <w:lvl w:ilvl="4" w:tplc="47E68E7C">
      <w:start w:val="1"/>
      <w:numFmt w:val="lowerLetter"/>
      <w:lvlText w:val="%5."/>
      <w:lvlJc w:val="left"/>
      <w:pPr>
        <w:ind w:left="3741" w:hanging="360"/>
      </w:pPr>
    </w:lvl>
    <w:lvl w:ilvl="5" w:tplc="8F52ADD2">
      <w:start w:val="1"/>
      <w:numFmt w:val="lowerRoman"/>
      <w:lvlText w:val="%6."/>
      <w:lvlJc w:val="right"/>
      <w:pPr>
        <w:ind w:left="4461" w:hanging="180"/>
      </w:pPr>
    </w:lvl>
    <w:lvl w:ilvl="6" w:tplc="F328E590">
      <w:start w:val="1"/>
      <w:numFmt w:val="decimal"/>
      <w:lvlText w:val="%7."/>
      <w:lvlJc w:val="left"/>
      <w:pPr>
        <w:ind w:left="5181" w:hanging="360"/>
      </w:pPr>
    </w:lvl>
    <w:lvl w:ilvl="7" w:tplc="6304F772">
      <w:start w:val="1"/>
      <w:numFmt w:val="lowerLetter"/>
      <w:lvlText w:val="%8."/>
      <w:lvlJc w:val="left"/>
      <w:pPr>
        <w:ind w:left="5901" w:hanging="360"/>
      </w:pPr>
    </w:lvl>
    <w:lvl w:ilvl="8" w:tplc="5A167D4A">
      <w:start w:val="1"/>
      <w:numFmt w:val="lowerRoman"/>
      <w:lvlText w:val="%9."/>
      <w:lvlJc w:val="right"/>
      <w:pPr>
        <w:ind w:left="6621" w:hanging="180"/>
      </w:pPr>
    </w:lvl>
  </w:abstractNum>
  <w:abstractNum w:abstractNumId="29" w15:restartNumberingAfterBreak="0">
    <w:nsid w:val="3EB0E6F7"/>
    <w:multiLevelType w:val="hybridMultilevel"/>
    <w:tmpl w:val="78D2B2BE"/>
    <w:lvl w:ilvl="0" w:tplc="9470020A">
      <w:start w:val="1"/>
      <w:numFmt w:val="bullet"/>
      <w:lvlText w:val=""/>
      <w:lvlJc w:val="left"/>
      <w:pPr>
        <w:ind w:left="1080" w:hanging="360"/>
      </w:pPr>
      <w:rPr>
        <w:rFonts w:ascii="Symbol" w:hAnsi="Symbol" w:hint="default"/>
      </w:rPr>
    </w:lvl>
    <w:lvl w:ilvl="1" w:tplc="B75851C0">
      <w:start w:val="1"/>
      <w:numFmt w:val="bullet"/>
      <w:lvlText w:val="o"/>
      <w:lvlJc w:val="left"/>
      <w:pPr>
        <w:ind w:left="1800" w:hanging="360"/>
      </w:pPr>
      <w:rPr>
        <w:rFonts w:ascii="Courier New" w:hAnsi="Courier New" w:hint="default"/>
      </w:rPr>
    </w:lvl>
    <w:lvl w:ilvl="2" w:tplc="AA700F8E">
      <w:start w:val="1"/>
      <w:numFmt w:val="bullet"/>
      <w:lvlText w:val=""/>
      <w:lvlJc w:val="left"/>
      <w:pPr>
        <w:ind w:left="2520" w:hanging="360"/>
      </w:pPr>
      <w:rPr>
        <w:rFonts w:ascii="Wingdings" w:hAnsi="Wingdings" w:hint="default"/>
      </w:rPr>
    </w:lvl>
    <w:lvl w:ilvl="3" w:tplc="3C46A056">
      <w:start w:val="1"/>
      <w:numFmt w:val="bullet"/>
      <w:lvlText w:val=""/>
      <w:lvlJc w:val="left"/>
      <w:pPr>
        <w:ind w:left="3240" w:hanging="360"/>
      </w:pPr>
      <w:rPr>
        <w:rFonts w:ascii="Symbol" w:hAnsi="Symbol" w:hint="default"/>
      </w:rPr>
    </w:lvl>
    <w:lvl w:ilvl="4" w:tplc="AC0A97A2">
      <w:start w:val="1"/>
      <w:numFmt w:val="bullet"/>
      <w:lvlText w:val="o"/>
      <w:lvlJc w:val="left"/>
      <w:pPr>
        <w:ind w:left="3960" w:hanging="360"/>
      </w:pPr>
      <w:rPr>
        <w:rFonts w:ascii="Courier New" w:hAnsi="Courier New" w:hint="default"/>
      </w:rPr>
    </w:lvl>
    <w:lvl w:ilvl="5" w:tplc="C0262392">
      <w:start w:val="1"/>
      <w:numFmt w:val="bullet"/>
      <w:lvlText w:val=""/>
      <w:lvlJc w:val="left"/>
      <w:pPr>
        <w:ind w:left="4680" w:hanging="360"/>
      </w:pPr>
      <w:rPr>
        <w:rFonts w:ascii="Wingdings" w:hAnsi="Wingdings" w:hint="default"/>
      </w:rPr>
    </w:lvl>
    <w:lvl w:ilvl="6" w:tplc="E97A940A">
      <w:start w:val="1"/>
      <w:numFmt w:val="bullet"/>
      <w:lvlText w:val=""/>
      <w:lvlJc w:val="left"/>
      <w:pPr>
        <w:ind w:left="5400" w:hanging="360"/>
      </w:pPr>
      <w:rPr>
        <w:rFonts w:ascii="Symbol" w:hAnsi="Symbol" w:hint="default"/>
      </w:rPr>
    </w:lvl>
    <w:lvl w:ilvl="7" w:tplc="AF3055B0">
      <w:start w:val="1"/>
      <w:numFmt w:val="bullet"/>
      <w:lvlText w:val="o"/>
      <w:lvlJc w:val="left"/>
      <w:pPr>
        <w:ind w:left="6120" w:hanging="360"/>
      </w:pPr>
      <w:rPr>
        <w:rFonts w:ascii="Courier New" w:hAnsi="Courier New" w:hint="default"/>
      </w:rPr>
    </w:lvl>
    <w:lvl w:ilvl="8" w:tplc="B498BAC0">
      <w:start w:val="1"/>
      <w:numFmt w:val="bullet"/>
      <w:lvlText w:val=""/>
      <w:lvlJc w:val="left"/>
      <w:pPr>
        <w:ind w:left="6840" w:hanging="360"/>
      </w:pPr>
      <w:rPr>
        <w:rFonts w:ascii="Wingdings" w:hAnsi="Wingdings" w:hint="default"/>
      </w:rPr>
    </w:lvl>
  </w:abstractNum>
  <w:abstractNum w:abstractNumId="30" w15:restartNumberingAfterBreak="0">
    <w:nsid w:val="3EB566A6"/>
    <w:multiLevelType w:val="hybridMultilevel"/>
    <w:tmpl w:val="5290C31E"/>
    <w:lvl w:ilvl="0" w:tplc="F2E6F34E">
      <w:start w:val="1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683BAC"/>
    <w:multiLevelType w:val="hybridMultilevel"/>
    <w:tmpl w:val="C3BEF5CC"/>
    <w:lvl w:ilvl="0" w:tplc="50B0CE34">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01">
      <w:start w:val="1"/>
      <w:numFmt w:val="bullet"/>
      <w:lvlText w:val=""/>
      <w:lvlJc w:val="left"/>
      <w:pPr>
        <w:ind w:left="3240" w:hanging="180"/>
      </w:pPr>
      <w:rPr>
        <w:rFonts w:ascii="Symbol" w:hAnsi="Symbol" w:hint="default"/>
      </w:rPr>
    </w:lvl>
    <w:lvl w:ilvl="3" w:tplc="0A1AD69A">
      <w:start w:val="51"/>
      <w:numFmt w:val="decimal"/>
      <w:lvlText w:val="%4."/>
      <w:lvlJc w:val="left"/>
      <w:pPr>
        <w:ind w:left="3960" w:hanging="360"/>
      </w:pPr>
      <w:rPr>
        <w:rFonts w:hint="default"/>
      </w:rPr>
    </w:lvl>
    <w:lvl w:ilvl="4" w:tplc="221E3284">
      <w:start w:val="51"/>
      <w:numFmt w:val="decimal"/>
      <w:lvlText w:val="%5"/>
      <w:lvlJc w:val="left"/>
      <w:pPr>
        <w:ind w:left="4680" w:hanging="360"/>
      </w:pPr>
      <w:rPr>
        <w:rFonts w:hint="default"/>
      </w:rPr>
    </w:lvl>
    <w:lvl w:ilvl="5" w:tplc="0809001B">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43B126AB"/>
    <w:multiLevelType w:val="hybridMultilevel"/>
    <w:tmpl w:val="B56C8E7C"/>
    <w:lvl w:ilvl="0" w:tplc="08090017">
      <w:start w:val="1"/>
      <w:numFmt w:val="lowerLetter"/>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794A53"/>
    <w:multiLevelType w:val="hybridMultilevel"/>
    <w:tmpl w:val="10503A74"/>
    <w:lvl w:ilvl="0" w:tplc="2DB6E32C">
      <w:start w:val="45"/>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A1171E"/>
    <w:multiLevelType w:val="hybridMultilevel"/>
    <w:tmpl w:val="26D414B8"/>
    <w:lvl w:ilvl="0" w:tplc="F0187F2E">
      <w:start w:val="54"/>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C92B17"/>
    <w:multiLevelType w:val="hybridMultilevel"/>
    <w:tmpl w:val="867CDF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549F214B"/>
    <w:multiLevelType w:val="multilevel"/>
    <w:tmpl w:val="B3C8B0F8"/>
    <w:lvl w:ilvl="0">
      <w:start w:val="1"/>
      <w:numFmt w:val="decimal"/>
      <w:lvlText w:val="%1."/>
      <w:lvlJc w:val="left"/>
      <w:pPr>
        <w:ind w:left="360" w:hanging="360"/>
      </w:pPr>
    </w:lvl>
    <w:lvl w:ilvl="1">
      <w:start w:val="1"/>
      <w:numFmt w:val="decimal"/>
      <w:pStyle w:val="abody"/>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555D0FF1"/>
    <w:multiLevelType w:val="hybridMultilevel"/>
    <w:tmpl w:val="6CD0F41E"/>
    <w:lvl w:ilvl="0" w:tplc="F042CC98">
      <w:start w:val="28"/>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8E3E0E"/>
    <w:multiLevelType w:val="hybridMultilevel"/>
    <w:tmpl w:val="B4908992"/>
    <w:lvl w:ilvl="0" w:tplc="08090017">
      <w:start w:val="1"/>
      <w:numFmt w:val="lowerLetter"/>
      <w:lvlText w:val="%1)"/>
      <w:lvlJc w:val="left"/>
      <w:pPr>
        <w:ind w:left="982" w:hanging="360"/>
      </w:pPr>
      <w:rPr>
        <w:rFonts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39" w15:restartNumberingAfterBreak="0">
    <w:nsid w:val="5B2B55DF"/>
    <w:multiLevelType w:val="hybridMultilevel"/>
    <w:tmpl w:val="2F22B4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B936450"/>
    <w:multiLevelType w:val="hybridMultilevel"/>
    <w:tmpl w:val="D99275EA"/>
    <w:lvl w:ilvl="0" w:tplc="0CA2060A">
      <w:start w:val="1"/>
      <w:numFmt w:val="bullet"/>
      <w:pStyle w:val="Style4"/>
      <w:lvlText w:val=""/>
      <w:lvlJc w:val="left"/>
      <w:pPr>
        <w:ind w:left="1267" w:hanging="360"/>
      </w:pPr>
      <w:rPr>
        <w:rFonts w:ascii="Wingdings" w:hAnsi="Wingdings" w:hint="default"/>
        <w:color w:val="00B0F0"/>
      </w:rPr>
    </w:lvl>
    <w:lvl w:ilvl="1" w:tplc="6D720CB8">
      <w:start w:val="1"/>
      <w:numFmt w:val="lowerRoman"/>
      <w:lvlText w:val="%2."/>
      <w:lvlJc w:val="left"/>
      <w:pPr>
        <w:ind w:left="1987" w:hanging="360"/>
      </w:pPr>
      <w:rPr>
        <w:rFonts w:hint="default"/>
        <w:color w:val="00B0F0"/>
      </w:rPr>
    </w:lvl>
    <w:lvl w:ilvl="2" w:tplc="08090005">
      <w:start w:val="1"/>
      <w:numFmt w:val="bullet"/>
      <w:lvlText w:val=""/>
      <w:lvlJc w:val="left"/>
      <w:pPr>
        <w:ind w:left="2707" w:hanging="360"/>
      </w:pPr>
      <w:rPr>
        <w:rFonts w:ascii="Wingdings" w:hAnsi="Wingdings" w:hint="default"/>
      </w:rPr>
    </w:lvl>
    <w:lvl w:ilvl="3" w:tplc="08090001">
      <w:start w:val="1"/>
      <w:numFmt w:val="bullet"/>
      <w:lvlText w:val=""/>
      <w:lvlJc w:val="left"/>
      <w:pPr>
        <w:ind w:left="3427" w:hanging="360"/>
      </w:pPr>
      <w:rPr>
        <w:rFonts w:ascii="Symbol" w:hAnsi="Symbol" w:hint="default"/>
      </w:rPr>
    </w:lvl>
    <w:lvl w:ilvl="4" w:tplc="08090003">
      <w:start w:val="1"/>
      <w:numFmt w:val="bullet"/>
      <w:lvlText w:val="o"/>
      <w:lvlJc w:val="left"/>
      <w:pPr>
        <w:ind w:left="4147" w:hanging="360"/>
      </w:pPr>
      <w:rPr>
        <w:rFonts w:ascii="Courier New" w:hAnsi="Courier New" w:cs="Courier New" w:hint="default"/>
      </w:rPr>
    </w:lvl>
    <w:lvl w:ilvl="5" w:tplc="08090005">
      <w:start w:val="1"/>
      <w:numFmt w:val="bullet"/>
      <w:lvlText w:val=""/>
      <w:lvlJc w:val="left"/>
      <w:pPr>
        <w:ind w:left="4867" w:hanging="360"/>
      </w:pPr>
      <w:rPr>
        <w:rFonts w:ascii="Wingdings" w:hAnsi="Wingdings" w:hint="default"/>
      </w:rPr>
    </w:lvl>
    <w:lvl w:ilvl="6" w:tplc="0809000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41" w15:restartNumberingAfterBreak="0">
    <w:nsid w:val="60FB3D43"/>
    <w:multiLevelType w:val="hybridMultilevel"/>
    <w:tmpl w:val="54BC3DF0"/>
    <w:lvl w:ilvl="0" w:tplc="80244D98">
      <w:start w:val="1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44331C9"/>
    <w:multiLevelType w:val="hybridMultilevel"/>
    <w:tmpl w:val="675230E0"/>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51C3354"/>
    <w:multiLevelType w:val="hybridMultilevel"/>
    <w:tmpl w:val="9FAE3EE6"/>
    <w:lvl w:ilvl="0" w:tplc="9B2C63FA">
      <w:start w:val="1"/>
      <w:numFmt w:val="bullet"/>
      <w:lvlText w:val=""/>
      <w:lvlJc w:val="left"/>
      <w:pPr>
        <w:tabs>
          <w:tab w:val="num" w:pos="1080"/>
        </w:tabs>
        <w:ind w:left="1080" w:hanging="360"/>
      </w:pPr>
      <w:rPr>
        <w:rFonts w:ascii="Wingdings" w:hAnsi="Wingdings" w:hint="default"/>
        <w:color w:val="000080"/>
      </w:rPr>
    </w:lvl>
    <w:lvl w:ilvl="1" w:tplc="08090017">
      <w:start w:val="1"/>
      <w:numFmt w:val="lowerLetter"/>
      <w:lvlText w:val="%2)"/>
      <w:lvlJc w:val="left"/>
      <w:pPr>
        <w:tabs>
          <w:tab w:val="num" w:pos="1440"/>
        </w:tabs>
        <w:ind w:left="1440" w:hanging="360"/>
      </w:pPr>
      <w:rPr>
        <w:rFonts w:hint="default"/>
        <w:color w:val="000080"/>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F11477"/>
    <w:multiLevelType w:val="singleLevel"/>
    <w:tmpl w:val="58EEFFEA"/>
    <w:lvl w:ilvl="0">
      <w:start w:val="33"/>
      <w:numFmt w:val="decimal"/>
      <w:pStyle w:val="ReportNumbering"/>
      <w:lvlText w:val="%1."/>
      <w:lvlJc w:val="left"/>
      <w:pPr>
        <w:tabs>
          <w:tab w:val="num" w:pos="360"/>
        </w:tabs>
        <w:ind w:left="360" w:hanging="360"/>
      </w:pPr>
      <w:rPr>
        <w:rFonts w:hint="default"/>
      </w:rPr>
    </w:lvl>
  </w:abstractNum>
  <w:abstractNum w:abstractNumId="45" w15:restartNumberingAfterBreak="0">
    <w:nsid w:val="680EFF3F"/>
    <w:multiLevelType w:val="hybridMultilevel"/>
    <w:tmpl w:val="99D03530"/>
    <w:lvl w:ilvl="0" w:tplc="FFFFFFFF">
      <w:start w:val="1"/>
      <w:numFmt w:val="decimal"/>
      <w:lvlText w:val="%1."/>
      <w:lvlJc w:val="left"/>
      <w:pPr>
        <w:ind w:left="1080" w:hanging="360"/>
      </w:pPr>
    </w:lvl>
    <w:lvl w:ilvl="1" w:tplc="35160996">
      <w:start w:val="1"/>
      <w:numFmt w:val="bullet"/>
      <w:lvlText w:val="o"/>
      <w:lvlJc w:val="left"/>
      <w:pPr>
        <w:ind w:left="1440" w:hanging="360"/>
      </w:pPr>
      <w:rPr>
        <w:rFonts w:ascii="Courier New" w:hAnsi="Courier New" w:hint="default"/>
      </w:rPr>
    </w:lvl>
    <w:lvl w:ilvl="2" w:tplc="00900A80">
      <w:start w:val="1"/>
      <w:numFmt w:val="bullet"/>
      <w:lvlText w:val=""/>
      <w:lvlJc w:val="left"/>
      <w:pPr>
        <w:ind w:left="2160" w:hanging="360"/>
      </w:pPr>
      <w:rPr>
        <w:rFonts w:ascii="Wingdings" w:hAnsi="Wingdings" w:hint="default"/>
      </w:rPr>
    </w:lvl>
    <w:lvl w:ilvl="3" w:tplc="1018E686">
      <w:start w:val="1"/>
      <w:numFmt w:val="bullet"/>
      <w:lvlText w:val=""/>
      <w:lvlJc w:val="left"/>
      <w:pPr>
        <w:ind w:left="2880" w:hanging="360"/>
      </w:pPr>
      <w:rPr>
        <w:rFonts w:ascii="Symbol" w:hAnsi="Symbol" w:hint="default"/>
      </w:rPr>
    </w:lvl>
    <w:lvl w:ilvl="4" w:tplc="23527718">
      <w:start w:val="1"/>
      <w:numFmt w:val="bullet"/>
      <w:lvlText w:val="o"/>
      <w:lvlJc w:val="left"/>
      <w:pPr>
        <w:ind w:left="3600" w:hanging="360"/>
      </w:pPr>
      <w:rPr>
        <w:rFonts w:ascii="Courier New" w:hAnsi="Courier New" w:hint="default"/>
      </w:rPr>
    </w:lvl>
    <w:lvl w:ilvl="5" w:tplc="4DB45700">
      <w:start w:val="1"/>
      <w:numFmt w:val="bullet"/>
      <w:lvlText w:val=""/>
      <w:lvlJc w:val="left"/>
      <w:pPr>
        <w:ind w:left="4320" w:hanging="360"/>
      </w:pPr>
      <w:rPr>
        <w:rFonts w:ascii="Wingdings" w:hAnsi="Wingdings" w:hint="default"/>
      </w:rPr>
    </w:lvl>
    <w:lvl w:ilvl="6" w:tplc="0C0A599A">
      <w:start w:val="1"/>
      <w:numFmt w:val="bullet"/>
      <w:lvlText w:val=""/>
      <w:lvlJc w:val="left"/>
      <w:pPr>
        <w:ind w:left="5040" w:hanging="360"/>
      </w:pPr>
      <w:rPr>
        <w:rFonts w:ascii="Symbol" w:hAnsi="Symbol" w:hint="default"/>
      </w:rPr>
    </w:lvl>
    <w:lvl w:ilvl="7" w:tplc="FC0E41F4">
      <w:start w:val="1"/>
      <w:numFmt w:val="bullet"/>
      <w:lvlText w:val="o"/>
      <w:lvlJc w:val="left"/>
      <w:pPr>
        <w:ind w:left="5760" w:hanging="360"/>
      </w:pPr>
      <w:rPr>
        <w:rFonts w:ascii="Courier New" w:hAnsi="Courier New" w:hint="default"/>
      </w:rPr>
    </w:lvl>
    <w:lvl w:ilvl="8" w:tplc="BFF0CD68">
      <w:start w:val="1"/>
      <w:numFmt w:val="bullet"/>
      <w:lvlText w:val=""/>
      <w:lvlJc w:val="left"/>
      <w:pPr>
        <w:ind w:left="6480" w:hanging="360"/>
      </w:pPr>
      <w:rPr>
        <w:rFonts w:ascii="Wingdings" w:hAnsi="Wingdings" w:hint="default"/>
      </w:rPr>
    </w:lvl>
  </w:abstractNum>
  <w:abstractNum w:abstractNumId="46" w15:restartNumberingAfterBreak="0">
    <w:nsid w:val="6AB451DF"/>
    <w:multiLevelType w:val="hybridMultilevel"/>
    <w:tmpl w:val="BC78E394"/>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2DA0D97C">
      <w:start w:val="85"/>
      <w:numFmt w:val="decimal"/>
      <w:lvlText w:val="%3"/>
      <w:lvlJc w:val="left"/>
      <w:pPr>
        <w:ind w:left="2520" w:hanging="360"/>
      </w:pPr>
      <w:rPr>
        <w:rFont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C705A6C"/>
    <w:multiLevelType w:val="hybridMultilevel"/>
    <w:tmpl w:val="DF80C812"/>
    <w:lvl w:ilvl="0" w:tplc="F4CCFD98">
      <w:start w:val="1"/>
      <w:numFmt w:val="lowerLetter"/>
      <w:lvlText w:val="%1)"/>
      <w:lvlJc w:val="left"/>
      <w:pPr>
        <w:ind w:left="928"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CD579CD"/>
    <w:multiLevelType w:val="hybridMultilevel"/>
    <w:tmpl w:val="E4EE1D7E"/>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49" w15:restartNumberingAfterBreak="0">
    <w:nsid w:val="6CE317E4"/>
    <w:multiLevelType w:val="hybridMultilevel"/>
    <w:tmpl w:val="0896D6A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04DA7A0"/>
    <w:multiLevelType w:val="hybridMultilevel"/>
    <w:tmpl w:val="354AAD7E"/>
    <w:lvl w:ilvl="0" w:tplc="40381EA2">
      <w:start w:val="95"/>
      <w:numFmt w:val="decimal"/>
      <w:lvlText w:val="%1."/>
      <w:lvlJc w:val="left"/>
      <w:pPr>
        <w:ind w:left="1069" w:hanging="360"/>
      </w:pPr>
    </w:lvl>
    <w:lvl w:ilvl="1" w:tplc="88F6C9C4">
      <w:start w:val="1"/>
      <w:numFmt w:val="lowerLetter"/>
      <w:lvlText w:val="%2."/>
      <w:lvlJc w:val="left"/>
      <w:pPr>
        <w:ind w:left="1440" w:hanging="360"/>
      </w:pPr>
    </w:lvl>
    <w:lvl w:ilvl="2" w:tplc="FAE81A38">
      <w:start w:val="1"/>
      <w:numFmt w:val="lowerRoman"/>
      <w:lvlText w:val="%3."/>
      <w:lvlJc w:val="right"/>
      <w:pPr>
        <w:ind w:left="2160" w:hanging="180"/>
      </w:pPr>
    </w:lvl>
    <w:lvl w:ilvl="3" w:tplc="5D5C1186">
      <w:start w:val="1"/>
      <w:numFmt w:val="decimal"/>
      <w:lvlText w:val="%4."/>
      <w:lvlJc w:val="left"/>
      <w:pPr>
        <w:ind w:left="2880" w:hanging="360"/>
      </w:pPr>
    </w:lvl>
    <w:lvl w:ilvl="4" w:tplc="A4D2A426">
      <w:start w:val="1"/>
      <w:numFmt w:val="lowerLetter"/>
      <w:lvlText w:val="%5."/>
      <w:lvlJc w:val="left"/>
      <w:pPr>
        <w:ind w:left="3600" w:hanging="360"/>
      </w:pPr>
    </w:lvl>
    <w:lvl w:ilvl="5" w:tplc="F2DC9918">
      <w:start w:val="1"/>
      <w:numFmt w:val="lowerRoman"/>
      <w:lvlText w:val="%6."/>
      <w:lvlJc w:val="right"/>
      <w:pPr>
        <w:ind w:left="4320" w:hanging="180"/>
      </w:pPr>
    </w:lvl>
    <w:lvl w:ilvl="6" w:tplc="AD0C5BB8">
      <w:start w:val="1"/>
      <w:numFmt w:val="decimal"/>
      <w:lvlText w:val="%7."/>
      <w:lvlJc w:val="left"/>
      <w:pPr>
        <w:ind w:left="5040" w:hanging="360"/>
      </w:pPr>
    </w:lvl>
    <w:lvl w:ilvl="7" w:tplc="22A0CEB6">
      <w:start w:val="1"/>
      <w:numFmt w:val="lowerLetter"/>
      <w:lvlText w:val="%8."/>
      <w:lvlJc w:val="left"/>
      <w:pPr>
        <w:ind w:left="5760" w:hanging="360"/>
      </w:pPr>
    </w:lvl>
    <w:lvl w:ilvl="8" w:tplc="A176B8AC">
      <w:start w:val="1"/>
      <w:numFmt w:val="lowerRoman"/>
      <w:lvlText w:val="%9."/>
      <w:lvlJc w:val="right"/>
      <w:pPr>
        <w:ind w:left="6480" w:hanging="180"/>
      </w:pPr>
    </w:lvl>
  </w:abstractNum>
  <w:abstractNum w:abstractNumId="51" w15:restartNumberingAfterBreak="0">
    <w:nsid w:val="70FD6AF6"/>
    <w:multiLevelType w:val="hybridMultilevel"/>
    <w:tmpl w:val="549EB7FC"/>
    <w:lvl w:ilvl="0" w:tplc="2EB4FF74">
      <w:start w:val="4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2922D86"/>
    <w:multiLevelType w:val="hybridMultilevel"/>
    <w:tmpl w:val="93EA023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D070409"/>
    <w:multiLevelType w:val="hybridMultilevel"/>
    <w:tmpl w:val="C25499DC"/>
    <w:lvl w:ilvl="0" w:tplc="2EAE0F80">
      <w:start w:val="1"/>
      <w:numFmt w:val="bullet"/>
      <w:lvlText w:val=""/>
      <w:lvlJc w:val="left"/>
      <w:pPr>
        <w:ind w:left="720" w:hanging="360"/>
      </w:pPr>
      <w:rPr>
        <w:rFonts w:ascii="Symbol" w:hAnsi="Symbol" w:hint="default"/>
      </w:rPr>
    </w:lvl>
    <w:lvl w:ilvl="1" w:tplc="E3BC3F3E">
      <w:start w:val="1"/>
      <w:numFmt w:val="bullet"/>
      <w:lvlText w:val="o"/>
      <w:lvlJc w:val="left"/>
      <w:pPr>
        <w:ind w:left="1440" w:hanging="360"/>
      </w:pPr>
      <w:rPr>
        <w:rFonts w:ascii="Courier New" w:hAnsi="Courier New" w:hint="default"/>
      </w:rPr>
    </w:lvl>
    <w:lvl w:ilvl="2" w:tplc="9B52317E">
      <w:start w:val="1"/>
      <w:numFmt w:val="bullet"/>
      <w:lvlText w:val=""/>
      <w:lvlJc w:val="left"/>
      <w:pPr>
        <w:ind w:left="2160" w:hanging="360"/>
      </w:pPr>
      <w:rPr>
        <w:rFonts w:ascii="Wingdings" w:hAnsi="Wingdings" w:hint="default"/>
      </w:rPr>
    </w:lvl>
    <w:lvl w:ilvl="3" w:tplc="F9E6940A">
      <w:start w:val="1"/>
      <w:numFmt w:val="bullet"/>
      <w:lvlText w:val=""/>
      <w:lvlJc w:val="left"/>
      <w:pPr>
        <w:ind w:left="2880" w:hanging="360"/>
      </w:pPr>
      <w:rPr>
        <w:rFonts w:ascii="Symbol" w:hAnsi="Symbol" w:hint="default"/>
      </w:rPr>
    </w:lvl>
    <w:lvl w:ilvl="4" w:tplc="AC467AC6">
      <w:start w:val="1"/>
      <w:numFmt w:val="bullet"/>
      <w:lvlText w:val="o"/>
      <w:lvlJc w:val="left"/>
      <w:pPr>
        <w:ind w:left="3600" w:hanging="360"/>
      </w:pPr>
      <w:rPr>
        <w:rFonts w:ascii="Courier New" w:hAnsi="Courier New" w:hint="default"/>
      </w:rPr>
    </w:lvl>
    <w:lvl w:ilvl="5" w:tplc="A3C4FF32">
      <w:start w:val="1"/>
      <w:numFmt w:val="bullet"/>
      <w:lvlText w:val=""/>
      <w:lvlJc w:val="left"/>
      <w:pPr>
        <w:ind w:left="4320" w:hanging="360"/>
      </w:pPr>
      <w:rPr>
        <w:rFonts w:ascii="Wingdings" w:hAnsi="Wingdings" w:hint="default"/>
      </w:rPr>
    </w:lvl>
    <w:lvl w:ilvl="6" w:tplc="A682518C">
      <w:start w:val="1"/>
      <w:numFmt w:val="bullet"/>
      <w:lvlText w:val=""/>
      <w:lvlJc w:val="left"/>
      <w:pPr>
        <w:ind w:left="5040" w:hanging="360"/>
      </w:pPr>
      <w:rPr>
        <w:rFonts w:ascii="Symbol" w:hAnsi="Symbol" w:hint="default"/>
      </w:rPr>
    </w:lvl>
    <w:lvl w:ilvl="7" w:tplc="C3C8702E">
      <w:start w:val="1"/>
      <w:numFmt w:val="bullet"/>
      <w:lvlText w:val="o"/>
      <w:lvlJc w:val="left"/>
      <w:pPr>
        <w:ind w:left="5760" w:hanging="360"/>
      </w:pPr>
      <w:rPr>
        <w:rFonts w:ascii="Courier New" w:hAnsi="Courier New" w:hint="default"/>
      </w:rPr>
    </w:lvl>
    <w:lvl w:ilvl="8" w:tplc="2E9448B0">
      <w:start w:val="1"/>
      <w:numFmt w:val="bullet"/>
      <w:lvlText w:val=""/>
      <w:lvlJc w:val="left"/>
      <w:pPr>
        <w:ind w:left="6480" w:hanging="360"/>
      </w:pPr>
      <w:rPr>
        <w:rFonts w:ascii="Wingdings" w:hAnsi="Wingdings" w:hint="default"/>
      </w:rPr>
    </w:lvl>
  </w:abstractNum>
  <w:abstractNum w:abstractNumId="54" w15:restartNumberingAfterBreak="0">
    <w:nsid w:val="7D89575D"/>
    <w:multiLevelType w:val="hybridMultilevel"/>
    <w:tmpl w:val="BF70DD5A"/>
    <w:lvl w:ilvl="0" w:tplc="C3F4EB06">
      <w:start w:val="46"/>
      <w:numFmt w:val="decimal"/>
      <w:lvlText w:val="%1."/>
      <w:lvlJc w:val="left"/>
      <w:pPr>
        <w:ind w:left="8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D992505"/>
    <w:multiLevelType w:val="hybridMultilevel"/>
    <w:tmpl w:val="AF7217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29141368">
    <w:abstractNumId w:val="50"/>
  </w:num>
  <w:num w:numId="2" w16cid:durableId="1853370342">
    <w:abstractNumId w:val="31"/>
  </w:num>
  <w:num w:numId="3" w16cid:durableId="1730492241">
    <w:abstractNumId w:val="49"/>
  </w:num>
  <w:num w:numId="4" w16cid:durableId="7950552">
    <w:abstractNumId w:val="16"/>
  </w:num>
  <w:num w:numId="5" w16cid:durableId="15085170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5029446">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8411736">
    <w:abstractNumId w:val="46"/>
  </w:num>
  <w:num w:numId="8" w16cid:durableId="654259319">
    <w:abstractNumId w:val="7"/>
  </w:num>
  <w:num w:numId="9" w16cid:durableId="167789969">
    <w:abstractNumId w:val="6"/>
  </w:num>
  <w:num w:numId="10" w16cid:durableId="974145370">
    <w:abstractNumId w:val="8"/>
  </w:num>
  <w:num w:numId="11" w16cid:durableId="1129709874">
    <w:abstractNumId w:val="52"/>
  </w:num>
  <w:num w:numId="12" w16cid:durableId="1493523329">
    <w:abstractNumId w:val="47"/>
  </w:num>
  <w:num w:numId="13" w16cid:durableId="370692671">
    <w:abstractNumId w:val="12"/>
  </w:num>
  <w:num w:numId="14" w16cid:durableId="1590039699">
    <w:abstractNumId w:val="42"/>
  </w:num>
  <w:num w:numId="15" w16cid:durableId="1198198587">
    <w:abstractNumId w:val="38"/>
  </w:num>
  <w:num w:numId="16" w16cid:durableId="2085639052">
    <w:abstractNumId w:val="43"/>
  </w:num>
  <w:num w:numId="17" w16cid:durableId="1447431014">
    <w:abstractNumId w:val="5"/>
  </w:num>
  <w:num w:numId="18" w16cid:durableId="1069812502">
    <w:abstractNumId w:val="40"/>
  </w:num>
  <w:num w:numId="19" w16cid:durableId="2028556033">
    <w:abstractNumId w:val="20"/>
  </w:num>
  <w:num w:numId="20" w16cid:durableId="1094518212">
    <w:abstractNumId w:val="11"/>
  </w:num>
  <w:num w:numId="21" w16cid:durableId="1229539894">
    <w:abstractNumId w:val="55"/>
  </w:num>
  <w:num w:numId="22" w16cid:durableId="41908657">
    <w:abstractNumId w:val="32"/>
  </w:num>
  <w:num w:numId="23" w16cid:durableId="1837260803">
    <w:abstractNumId w:val="22"/>
  </w:num>
  <w:num w:numId="24" w16cid:durableId="1671982027">
    <w:abstractNumId w:val="9"/>
  </w:num>
  <w:num w:numId="25" w16cid:durableId="670762116">
    <w:abstractNumId w:val="29"/>
  </w:num>
  <w:num w:numId="26" w16cid:durableId="1839811823">
    <w:abstractNumId w:val="45"/>
  </w:num>
  <w:num w:numId="27" w16cid:durableId="639767963">
    <w:abstractNumId w:val="28"/>
  </w:num>
  <w:num w:numId="28" w16cid:durableId="753167684">
    <w:abstractNumId w:val="13"/>
  </w:num>
  <w:num w:numId="29" w16cid:durableId="1069184858">
    <w:abstractNumId w:val="53"/>
  </w:num>
  <w:num w:numId="30" w16cid:durableId="1866359335">
    <w:abstractNumId w:val="35"/>
  </w:num>
  <w:num w:numId="31" w16cid:durableId="666135273">
    <w:abstractNumId w:val="26"/>
  </w:num>
  <w:num w:numId="32" w16cid:durableId="563874954">
    <w:abstractNumId w:val="23"/>
  </w:num>
  <w:num w:numId="33" w16cid:durableId="1249969256">
    <w:abstractNumId w:val="27"/>
  </w:num>
  <w:num w:numId="34" w16cid:durableId="298190208">
    <w:abstractNumId w:val="44"/>
  </w:num>
  <w:num w:numId="35" w16cid:durableId="2063206955">
    <w:abstractNumId w:val="24"/>
  </w:num>
  <w:num w:numId="36" w16cid:durableId="1375039569">
    <w:abstractNumId w:val="19"/>
  </w:num>
  <w:num w:numId="37" w16cid:durableId="1842545804">
    <w:abstractNumId w:val="44"/>
  </w:num>
  <w:num w:numId="38" w16cid:durableId="1318611432">
    <w:abstractNumId w:val="25"/>
  </w:num>
  <w:num w:numId="39" w16cid:durableId="1578133827">
    <w:abstractNumId w:val="51"/>
  </w:num>
  <w:num w:numId="40" w16cid:durableId="1793285911">
    <w:abstractNumId w:val="33"/>
  </w:num>
  <w:num w:numId="41" w16cid:durableId="2068331583">
    <w:abstractNumId w:val="54"/>
  </w:num>
  <w:num w:numId="42" w16cid:durableId="274022301">
    <w:abstractNumId w:val="17"/>
  </w:num>
  <w:num w:numId="43" w16cid:durableId="281965284">
    <w:abstractNumId w:val="39"/>
  </w:num>
  <w:num w:numId="44" w16cid:durableId="1240482228">
    <w:abstractNumId w:val="18"/>
  </w:num>
  <w:num w:numId="45" w16cid:durableId="1423914581">
    <w:abstractNumId w:val="0"/>
  </w:num>
  <w:num w:numId="46" w16cid:durableId="1310594520">
    <w:abstractNumId w:val="3"/>
  </w:num>
  <w:num w:numId="47" w16cid:durableId="924847066">
    <w:abstractNumId w:val="37"/>
  </w:num>
  <w:num w:numId="48" w16cid:durableId="351878214">
    <w:abstractNumId w:val="44"/>
    <w:lvlOverride w:ilvl="0">
      <w:startOverride w:val="38"/>
    </w:lvlOverride>
  </w:num>
  <w:num w:numId="49" w16cid:durableId="1172649800">
    <w:abstractNumId w:val="4"/>
  </w:num>
  <w:num w:numId="50" w16cid:durableId="1187790514">
    <w:abstractNumId w:val="2"/>
  </w:num>
  <w:num w:numId="51" w16cid:durableId="1211112578">
    <w:abstractNumId w:val="34"/>
  </w:num>
  <w:num w:numId="52" w16cid:durableId="803472317">
    <w:abstractNumId w:val="10"/>
  </w:num>
  <w:num w:numId="53" w16cid:durableId="1941985730">
    <w:abstractNumId w:val="21"/>
  </w:num>
  <w:num w:numId="54" w16cid:durableId="54360303">
    <w:abstractNumId w:val="41"/>
  </w:num>
  <w:num w:numId="55" w16cid:durableId="690691635">
    <w:abstractNumId w:val="30"/>
  </w:num>
  <w:num w:numId="56" w16cid:durableId="1294215120">
    <w:abstractNumId w:val="15"/>
  </w:num>
  <w:num w:numId="57" w16cid:durableId="1649900153">
    <w:abstractNumId w:val="14"/>
  </w:num>
  <w:num w:numId="58" w16cid:durableId="1093821345">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92"/>
    <w:rsid w:val="00000121"/>
    <w:rsid w:val="00000222"/>
    <w:rsid w:val="000007D8"/>
    <w:rsid w:val="00000801"/>
    <w:rsid w:val="00000C81"/>
    <w:rsid w:val="00000EAF"/>
    <w:rsid w:val="000014F5"/>
    <w:rsid w:val="0000174E"/>
    <w:rsid w:val="00001F53"/>
    <w:rsid w:val="00002364"/>
    <w:rsid w:val="00002554"/>
    <w:rsid w:val="000026E1"/>
    <w:rsid w:val="00002ACC"/>
    <w:rsid w:val="0000329A"/>
    <w:rsid w:val="00003553"/>
    <w:rsid w:val="00003A20"/>
    <w:rsid w:val="00003F37"/>
    <w:rsid w:val="00003FE6"/>
    <w:rsid w:val="00004448"/>
    <w:rsid w:val="0000468F"/>
    <w:rsid w:val="00004FC3"/>
    <w:rsid w:val="00005306"/>
    <w:rsid w:val="00005585"/>
    <w:rsid w:val="00005687"/>
    <w:rsid w:val="000060E5"/>
    <w:rsid w:val="0000680C"/>
    <w:rsid w:val="00006CD9"/>
    <w:rsid w:val="00007155"/>
    <w:rsid w:val="00007509"/>
    <w:rsid w:val="00007681"/>
    <w:rsid w:val="0000772B"/>
    <w:rsid w:val="00007ABF"/>
    <w:rsid w:val="00010588"/>
    <w:rsid w:val="00010B1F"/>
    <w:rsid w:val="0001161C"/>
    <w:rsid w:val="00011A39"/>
    <w:rsid w:val="00011BDF"/>
    <w:rsid w:val="00011F07"/>
    <w:rsid w:val="00011FE7"/>
    <w:rsid w:val="0001206E"/>
    <w:rsid w:val="000120B5"/>
    <w:rsid w:val="0001278A"/>
    <w:rsid w:val="00013245"/>
    <w:rsid w:val="0001377A"/>
    <w:rsid w:val="00013CDD"/>
    <w:rsid w:val="00014411"/>
    <w:rsid w:val="000148E2"/>
    <w:rsid w:val="00014AC3"/>
    <w:rsid w:val="00014CCE"/>
    <w:rsid w:val="00014D43"/>
    <w:rsid w:val="00015264"/>
    <w:rsid w:val="0001589B"/>
    <w:rsid w:val="00015C8A"/>
    <w:rsid w:val="000163B9"/>
    <w:rsid w:val="00016AF4"/>
    <w:rsid w:val="00017261"/>
    <w:rsid w:val="000175EB"/>
    <w:rsid w:val="000177BC"/>
    <w:rsid w:val="000177D1"/>
    <w:rsid w:val="00017EC1"/>
    <w:rsid w:val="0002042E"/>
    <w:rsid w:val="0002084D"/>
    <w:rsid w:val="00020BF5"/>
    <w:rsid w:val="000212B7"/>
    <w:rsid w:val="00022FE4"/>
    <w:rsid w:val="000230EB"/>
    <w:rsid w:val="00023727"/>
    <w:rsid w:val="0002378D"/>
    <w:rsid w:val="00023C36"/>
    <w:rsid w:val="00023F13"/>
    <w:rsid w:val="000242E1"/>
    <w:rsid w:val="000244DC"/>
    <w:rsid w:val="00024602"/>
    <w:rsid w:val="00024BFA"/>
    <w:rsid w:val="00024C99"/>
    <w:rsid w:val="00025407"/>
    <w:rsid w:val="00025602"/>
    <w:rsid w:val="000259AE"/>
    <w:rsid w:val="00025F02"/>
    <w:rsid w:val="000268B4"/>
    <w:rsid w:val="0002692D"/>
    <w:rsid w:val="00026D0F"/>
    <w:rsid w:val="00026D54"/>
    <w:rsid w:val="00026DCF"/>
    <w:rsid w:val="0002745F"/>
    <w:rsid w:val="00027ABF"/>
    <w:rsid w:val="00030319"/>
    <w:rsid w:val="00030608"/>
    <w:rsid w:val="000312D5"/>
    <w:rsid w:val="00031417"/>
    <w:rsid w:val="000314D9"/>
    <w:rsid w:val="00031935"/>
    <w:rsid w:val="00032DD3"/>
    <w:rsid w:val="00032E4C"/>
    <w:rsid w:val="0003358A"/>
    <w:rsid w:val="00033D04"/>
    <w:rsid w:val="00034D3C"/>
    <w:rsid w:val="000352A6"/>
    <w:rsid w:val="0003598D"/>
    <w:rsid w:val="000359C5"/>
    <w:rsid w:val="00035CCD"/>
    <w:rsid w:val="0003640B"/>
    <w:rsid w:val="000367C9"/>
    <w:rsid w:val="00036846"/>
    <w:rsid w:val="00036B31"/>
    <w:rsid w:val="00036BC5"/>
    <w:rsid w:val="00036C62"/>
    <w:rsid w:val="0003732A"/>
    <w:rsid w:val="000373A9"/>
    <w:rsid w:val="000374C3"/>
    <w:rsid w:val="000375DC"/>
    <w:rsid w:val="0003781E"/>
    <w:rsid w:val="00037C87"/>
    <w:rsid w:val="00037D09"/>
    <w:rsid w:val="000400F2"/>
    <w:rsid w:val="00040346"/>
    <w:rsid w:val="000409F1"/>
    <w:rsid w:val="00040F44"/>
    <w:rsid w:val="00040FE0"/>
    <w:rsid w:val="0004116B"/>
    <w:rsid w:val="00041422"/>
    <w:rsid w:val="000416F1"/>
    <w:rsid w:val="00041DBF"/>
    <w:rsid w:val="00042E37"/>
    <w:rsid w:val="000433C7"/>
    <w:rsid w:val="00044679"/>
    <w:rsid w:val="00044853"/>
    <w:rsid w:val="00044EA6"/>
    <w:rsid w:val="0004517D"/>
    <w:rsid w:val="00046369"/>
    <w:rsid w:val="00046493"/>
    <w:rsid w:val="0004668D"/>
    <w:rsid w:val="00046A66"/>
    <w:rsid w:val="00046ACD"/>
    <w:rsid w:val="00046AF4"/>
    <w:rsid w:val="00047555"/>
    <w:rsid w:val="000479E0"/>
    <w:rsid w:val="000500E3"/>
    <w:rsid w:val="000501D8"/>
    <w:rsid w:val="00050BE7"/>
    <w:rsid w:val="000511A0"/>
    <w:rsid w:val="000515AC"/>
    <w:rsid w:val="00051E03"/>
    <w:rsid w:val="00051E70"/>
    <w:rsid w:val="00052841"/>
    <w:rsid w:val="00052F09"/>
    <w:rsid w:val="0005334B"/>
    <w:rsid w:val="0005375B"/>
    <w:rsid w:val="000538A7"/>
    <w:rsid w:val="00053B8A"/>
    <w:rsid w:val="00053EAC"/>
    <w:rsid w:val="00054599"/>
    <w:rsid w:val="0005470D"/>
    <w:rsid w:val="000548A5"/>
    <w:rsid w:val="00054A72"/>
    <w:rsid w:val="0005525B"/>
    <w:rsid w:val="000552B5"/>
    <w:rsid w:val="000552C7"/>
    <w:rsid w:val="00055A3D"/>
    <w:rsid w:val="00055E81"/>
    <w:rsid w:val="00056263"/>
    <w:rsid w:val="00056945"/>
    <w:rsid w:val="00056DFB"/>
    <w:rsid w:val="000571BB"/>
    <w:rsid w:val="00057540"/>
    <w:rsid w:val="00057842"/>
    <w:rsid w:val="000602B2"/>
    <w:rsid w:val="00060980"/>
    <w:rsid w:val="00060CFC"/>
    <w:rsid w:val="00060E12"/>
    <w:rsid w:val="00061569"/>
    <w:rsid w:val="00061802"/>
    <w:rsid w:val="00061BC8"/>
    <w:rsid w:val="00061CDD"/>
    <w:rsid w:val="00062D8F"/>
    <w:rsid w:val="00062F4A"/>
    <w:rsid w:val="00064089"/>
    <w:rsid w:val="00064FD2"/>
    <w:rsid w:val="000651D3"/>
    <w:rsid w:val="00065297"/>
    <w:rsid w:val="00065654"/>
    <w:rsid w:val="000656A9"/>
    <w:rsid w:val="0006697E"/>
    <w:rsid w:val="0006701F"/>
    <w:rsid w:val="000670D8"/>
    <w:rsid w:val="000675DC"/>
    <w:rsid w:val="00067B5C"/>
    <w:rsid w:val="000700C5"/>
    <w:rsid w:val="00070723"/>
    <w:rsid w:val="00070905"/>
    <w:rsid w:val="00071748"/>
    <w:rsid w:val="00071B43"/>
    <w:rsid w:val="00071B82"/>
    <w:rsid w:val="00071E87"/>
    <w:rsid w:val="00072140"/>
    <w:rsid w:val="000725D4"/>
    <w:rsid w:val="0007294E"/>
    <w:rsid w:val="00072AA9"/>
    <w:rsid w:val="00072E78"/>
    <w:rsid w:val="00073637"/>
    <w:rsid w:val="00073992"/>
    <w:rsid w:val="00073CCA"/>
    <w:rsid w:val="000743AA"/>
    <w:rsid w:val="00074599"/>
    <w:rsid w:val="00074897"/>
    <w:rsid w:val="00074C0E"/>
    <w:rsid w:val="00074F35"/>
    <w:rsid w:val="00075169"/>
    <w:rsid w:val="00075960"/>
    <w:rsid w:val="000759EC"/>
    <w:rsid w:val="00075ADB"/>
    <w:rsid w:val="00076698"/>
    <w:rsid w:val="00076928"/>
    <w:rsid w:val="00076A88"/>
    <w:rsid w:val="00076B5A"/>
    <w:rsid w:val="00076FD9"/>
    <w:rsid w:val="000771CA"/>
    <w:rsid w:val="0007727C"/>
    <w:rsid w:val="00077B02"/>
    <w:rsid w:val="00077F9E"/>
    <w:rsid w:val="00080020"/>
    <w:rsid w:val="000806EF"/>
    <w:rsid w:val="000808EA"/>
    <w:rsid w:val="00080CB5"/>
    <w:rsid w:val="00080D96"/>
    <w:rsid w:val="00080E20"/>
    <w:rsid w:val="00080F5A"/>
    <w:rsid w:val="0008134D"/>
    <w:rsid w:val="00081C7F"/>
    <w:rsid w:val="00081FC3"/>
    <w:rsid w:val="000822E2"/>
    <w:rsid w:val="000833D1"/>
    <w:rsid w:val="00083889"/>
    <w:rsid w:val="00083D3A"/>
    <w:rsid w:val="000841DB"/>
    <w:rsid w:val="000842A3"/>
    <w:rsid w:val="000851F2"/>
    <w:rsid w:val="0008525A"/>
    <w:rsid w:val="00085616"/>
    <w:rsid w:val="0008591C"/>
    <w:rsid w:val="0008606E"/>
    <w:rsid w:val="00086317"/>
    <w:rsid w:val="000864AE"/>
    <w:rsid w:val="0008651B"/>
    <w:rsid w:val="0008663A"/>
    <w:rsid w:val="000866AF"/>
    <w:rsid w:val="000866EB"/>
    <w:rsid w:val="00086B56"/>
    <w:rsid w:val="00086E85"/>
    <w:rsid w:val="00086EBA"/>
    <w:rsid w:val="00087185"/>
    <w:rsid w:val="00087507"/>
    <w:rsid w:val="00087896"/>
    <w:rsid w:val="000905AF"/>
    <w:rsid w:val="000909AE"/>
    <w:rsid w:val="00090D70"/>
    <w:rsid w:val="0009116B"/>
    <w:rsid w:val="000911F3"/>
    <w:rsid w:val="0009129F"/>
    <w:rsid w:val="00091D62"/>
    <w:rsid w:val="00092035"/>
    <w:rsid w:val="000929EA"/>
    <w:rsid w:val="00093B24"/>
    <w:rsid w:val="00093B9A"/>
    <w:rsid w:val="00093D0E"/>
    <w:rsid w:val="00093D55"/>
    <w:rsid w:val="0009449A"/>
    <w:rsid w:val="00094805"/>
    <w:rsid w:val="00094AC4"/>
    <w:rsid w:val="00094BCA"/>
    <w:rsid w:val="00094D1E"/>
    <w:rsid w:val="00094E55"/>
    <w:rsid w:val="00095085"/>
    <w:rsid w:val="0009508F"/>
    <w:rsid w:val="000950F0"/>
    <w:rsid w:val="00095D72"/>
    <w:rsid w:val="000960D7"/>
    <w:rsid w:val="0009616E"/>
    <w:rsid w:val="000963EE"/>
    <w:rsid w:val="000969FD"/>
    <w:rsid w:val="00096BAD"/>
    <w:rsid w:val="00096D1F"/>
    <w:rsid w:val="000973F8"/>
    <w:rsid w:val="0009753F"/>
    <w:rsid w:val="00097D70"/>
    <w:rsid w:val="00097EC5"/>
    <w:rsid w:val="00097FD6"/>
    <w:rsid w:val="00097FFC"/>
    <w:rsid w:val="000A0E93"/>
    <w:rsid w:val="000A1460"/>
    <w:rsid w:val="000A18C0"/>
    <w:rsid w:val="000A1EA2"/>
    <w:rsid w:val="000A24A0"/>
    <w:rsid w:val="000A2AD5"/>
    <w:rsid w:val="000A2BAF"/>
    <w:rsid w:val="000A392F"/>
    <w:rsid w:val="000A398F"/>
    <w:rsid w:val="000A3F7C"/>
    <w:rsid w:val="000A41FF"/>
    <w:rsid w:val="000A43BF"/>
    <w:rsid w:val="000A464F"/>
    <w:rsid w:val="000A487D"/>
    <w:rsid w:val="000A4BE4"/>
    <w:rsid w:val="000A4CA2"/>
    <w:rsid w:val="000A4F6F"/>
    <w:rsid w:val="000A5090"/>
    <w:rsid w:val="000A5402"/>
    <w:rsid w:val="000A5547"/>
    <w:rsid w:val="000A5CC7"/>
    <w:rsid w:val="000A5D75"/>
    <w:rsid w:val="000A60A5"/>
    <w:rsid w:val="000A6155"/>
    <w:rsid w:val="000A6D32"/>
    <w:rsid w:val="000A71A9"/>
    <w:rsid w:val="000A731F"/>
    <w:rsid w:val="000A797A"/>
    <w:rsid w:val="000A7983"/>
    <w:rsid w:val="000A7E41"/>
    <w:rsid w:val="000B0E37"/>
    <w:rsid w:val="000B10E5"/>
    <w:rsid w:val="000B1100"/>
    <w:rsid w:val="000B14AD"/>
    <w:rsid w:val="000B173D"/>
    <w:rsid w:val="000B17F5"/>
    <w:rsid w:val="000B1B03"/>
    <w:rsid w:val="000B1C14"/>
    <w:rsid w:val="000B1D73"/>
    <w:rsid w:val="000B1DBE"/>
    <w:rsid w:val="000B1FA4"/>
    <w:rsid w:val="000B26A3"/>
    <w:rsid w:val="000B2960"/>
    <w:rsid w:val="000B3050"/>
    <w:rsid w:val="000B3432"/>
    <w:rsid w:val="000B366D"/>
    <w:rsid w:val="000B3A12"/>
    <w:rsid w:val="000B3B20"/>
    <w:rsid w:val="000B3E78"/>
    <w:rsid w:val="000B44CB"/>
    <w:rsid w:val="000B4555"/>
    <w:rsid w:val="000B4C5C"/>
    <w:rsid w:val="000B53FF"/>
    <w:rsid w:val="000B5B6B"/>
    <w:rsid w:val="000B5D87"/>
    <w:rsid w:val="000B5DB9"/>
    <w:rsid w:val="000B6EF3"/>
    <w:rsid w:val="000B71B8"/>
    <w:rsid w:val="000B745E"/>
    <w:rsid w:val="000B78D2"/>
    <w:rsid w:val="000B790A"/>
    <w:rsid w:val="000B7B7A"/>
    <w:rsid w:val="000B7B7D"/>
    <w:rsid w:val="000C02A5"/>
    <w:rsid w:val="000C03E1"/>
    <w:rsid w:val="000C04C9"/>
    <w:rsid w:val="000C0570"/>
    <w:rsid w:val="000C0708"/>
    <w:rsid w:val="000C0BA6"/>
    <w:rsid w:val="000C0D51"/>
    <w:rsid w:val="000C11C5"/>
    <w:rsid w:val="000C143A"/>
    <w:rsid w:val="000C178A"/>
    <w:rsid w:val="000C1F18"/>
    <w:rsid w:val="000C25EA"/>
    <w:rsid w:val="000C2E11"/>
    <w:rsid w:val="000C34F2"/>
    <w:rsid w:val="000C39AF"/>
    <w:rsid w:val="000C3DE7"/>
    <w:rsid w:val="000C480C"/>
    <w:rsid w:val="000C4C04"/>
    <w:rsid w:val="000C4C6F"/>
    <w:rsid w:val="000C5168"/>
    <w:rsid w:val="000C56AB"/>
    <w:rsid w:val="000C5837"/>
    <w:rsid w:val="000C5CA1"/>
    <w:rsid w:val="000C7927"/>
    <w:rsid w:val="000C7969"/>
    <w:rsid w:val="000C7E0A"/>
    <w:rsid w:val="000D03AD"/>
    <w:rsid w:val="000D130C"/>
    <w:rsid w:val="000D1766"/>
    <w:rsid w:val="000D1E25"/>
    <w:rsid w:val="000D20F4"/>
    <w:rsid w:val="000D2B08"/>
    <w:rsid w:val="000D2EE7"/>
    <w:rsid w:val="000D30A6"/>
    <w:rsid w:val="000D30E4"/>
    <w:rsid w:val="000D3698"/>
    <w:rsid w:val="000D3814"/>
    <w:rsid w:val="000D3F28"/>
    <w:rsid w:val="000D4044"/>
    <w:rsid w:val="000D4065"/>
    <w:rsid w:val="000D4472"/>
    <w:rsid w:val="000D47C6"/>
    <w:rsid w:val="000D4B92"/>
    <w:rsid w:val="000D4F2E"/>
    <w:rsid w:val="000D5F0B"/>
    <w:rsid w:val="000D6A8C"/>
    <w:rsid w:val="000D6B54"/>
    <w:rsid w:val="000D7025"/>
    <w:rsid w:val="000D706D"/>
    <w:rsid w:val="000D75E5"/>
    <w:rsid w:val="000E0DC6"/>
    <w:rsid w:val="000E1129"/>
    <w:rsid w:val="000E1817"/>
    <w:rsid w:val="000E1F50"/>
    <w:rsid w:val="000E23FE"/>
    <w:rsid w:val="000E2981"/>
    <w:rsid w:val="000E2F42"/>
    <w:rsid w:val="000E3190"/>
    <w:rsid w:val="000E31BF"/>
    <w:rsid w:val="000E3619"/>
    <w:rsid w:val="000E3E60"/>
    <w:rsid w:val="000E3F75"/>
    <w:rsid w:val="000E3F80"/>
    <w:rsid w:val="000E4112"/>
    <w:rsid w:val="000E497C"/>
    <w:rsid w:val="000E4F2D"/>
    <w:rsid w:val="000E5418"/>
    <w:rsid w:val="000E5472"/>
    <w:rsid w:val="000E56F2"/>
    <w:rsid w:val="000E5A24"/>
    <w:rsid w:val="000E5B30"/>
    <w:rsid w:val="000E5B47"/>
    <w:rsid w:val="000E61BD"/>
    <w:rsid w:val="000E6C82"/>
    <w:rsid w:val="000E6C9A"/>
    <w:rsid w:val="000E71F7"/>
    <w:rsid w:val="000F0F83"/>
    <w:rsid w:val="000F217C"/>
    <w:rsid w:val="000F21AF"/>
    <w:rsid w:val="000F2F61"/>
    <w:rsid w:val="000F32AB"/>
    <w:rsid w:val="000F3E22"/>
    <w:rsid w:val="000F4313"/>
    <w:rsid w:val="000F4333"/>
    <w:rsid w:val="000F44D2"/>
    <w:rsid w:val="000F4C48"/>
    <w:rsid w:val="000F4DED"/>
    <w:rsid w:val="000F51FB"/>
    <w:rsid w:val="000F525A"/>
    <w:rsid w:val="000F56A6"/>
    <w:rsid w:val="000F578B"/>
    <w:rsid w:val="000F5AB8"/>
    <w:rsid w:val="000F6039"/>
    <w:rsid w:val="000F60BE"/>
    <w:rsid w:val="000F62AE"/>
    <w:rsid w:val="000F65E1"/>
    <w:rsid w:val="000F663D"/>
    <w:rsid w:val="000F667D"/>
    <w:rsid w:val="000F6691"/>
    <w:rsid w:val="000F6781"/>
    <w:rsid w:val="000F7425"/>
    <w:rsid w:val="000F74A3"/>
    <w:rsid w:val="000F7BF7"/>
    <w:rsid w:val="000F8913"/>
    <w:rsid w:val="001001B5"/>
    <w:rsid w:val="001005F5"/>
    <w:rsid w:val="00101448"/>
    <w:rsid w:val="00101863"/>
    <w:rsid w:val="00101ED1"/>
    <w:rsid w:val="001025F7"/>
    <w:rsid w:val="00102976"/>
    <w:rsid w:val="00102CFD"/>
    <w:rsid w:val="00103029"/>
    <w:rsid w:val="001031E3"/>
    <w:rsid w:val="0010339A"/>
    <w:rsid w:val="00103401"/>
    <w:rsid w:val="0010389E"/>
    <w:rsid w:val="0010402D"/>
    <w:rsid w:val="0010427B"/>
    <w:rsid w:val="00104315"/>
    <w:rsid w:val="00104937"/>
    <w:rsid w:val="00105480"/>
    <w:rsid w:val="0010571B"/>
    <w:rsid w:val="001057F7"/>
    <w:rsid w:val="00105A74"/>
    <w:rsid w:val="00105B5D"/>
    <w:rsid w:val="00105F0F"/>
    <w:rsid w:val="00105FBE"/>
    <w:rsid w:val="001064FA"/>
    <w:rsid w:val="00106564"/>
    <w:rsid w:val="00106B77"/>
    <w:rsid w:val="00106C76"/>
    <w:rsid w:val="00106D5B"/>
    <w:rsid w:val="00106F11"/>
    <w:rsid w:val="00106FDF"/>
    <w:rsid w:val="0010705C"/>
    <w:rsid w:val="00107110"/>
    <w:rsid w:val="001073D6"/>
    <w:rsid w:val="0010772D"/>
    <w:rsid w:val="00107DF2"/>
    <w:rsid w:val="00110391"/>
    <w:rsid w:val="00110A5B"/>
    <w:rsid w:val="00111061"/>
    <w:rsid w:val="001115E2"/>
    <w:rsid w:val="00111817"/>
    <w:rsid w:val="0011182F"/>
    <w:rsid w:val="0011191E"/>
    <w:rsid w:val="001119EE"/>
    <w:rsid w:val="00111A9E"/>
    <w:rsid w:val="00111ACB"/>
    <w:rsid w:val="00112267"/>
    <w:rsid w:val="001122F5"/>
    <w:rsid w:val="00113275"/>
    <w:rsid w:val="00114ABA"/>
    <w:rsid w:val="00115150"/>
    <w:rsid w:val="00115398"/>
    <w:rsid w:val="001156ED"/>
    <w:rsid w:val="001158C4"/>
    <w:rsid w:val="00115DCF"/>
    <w:rsid w:val="0011614A"/>
    <w:rsid w:val="0011644A"/>
    <w:rsid w:val="00116579"/>
    <w:rsid w:val="001167B2"/>
    <w:rsid w:val="00116B38"/>
    <w:rsid w:val="00117184"/>
    <w:rsid w:val="00117C32"/>
    <w:rsid w:val="001204D8"/>
    <w:rsid w:val="00120F1B"/>
    <w:rsid w:val="001214BA"/>
    <w:rsid w:val="00121B33"/>
    <w:rsid w:val="00121B5A"/>
    <w:rsid w:val="00121CC2"/>
    <w:rsid w:val="00121EE5"/>
    <w:rsid w:val="001223D3"/>
    <w:rsid w:val="00122651"/>
    <w:rsid w:val="00122BDA"/>
    <w:rsid w:val="00122FEC"/>
    <w:rsid w:val="001235E9"/>
    <w:rsid w:val="00123639"/>
    <w:rsid w:val="00123FCB"/>
    <w:rsid w:val="00124149"/>
    <w:rsid w:val="00124796"/>
    <w:rsid w:val="00124BC9"/>
    <w:rsid w:val="00124DF5"/>
    <w:rsid w:val="00125B68"/>
    <w:rsid w:val="00126063"/>
    <w:rsid w:val="001266A4"/>
    <w:rsid w:val="00126B8C"/>
    <w:rsid w:val="001275A6"/>
    <w:rsid w:val="00127DB3"/>
    <w:rsid w:val="00130233"/>
    <w:rsid w:val="001305D7"/>
    <w:rsid w:val="001308EC"/>
    <w:rsid w:val="0013139E"/>
    <w:rsid w:val="00131453"/>
    <w:rsid w:val="00131907"/>
    <w:rsid w:val="00131CED"/>
    <w:rsid w:val="00132034"/>
    <w:rsid w:val="00132036"/>
    <w:rsid w:val="001323CD"/>
    <w:rsid w:val="00132560"/>
    <w:rsid w:val="00132E38"/>
    <w:rsid w:val="0013316B"/>
    <w:rsid w:val="00133265"/>
    <w:rsid w:val="001336B6"/>
    <w:rsid w:val="0013394B"/>
    <w:rsid w:val="00133CFB"/>
    <w:rsid w:val="00133F0E"/>
    <w:rsid w:val="00134321"/>
    <w:rsid w:val="001345A3"/>
    <w:rsid w:val="00134CD8"/>
    <w:rsid w:val="00134F42"/>
    <w:rsid w:val="00135514"/>
    <w:rsid w:val="001356A4"/>
    <w:rsid w:val="001358B6"/>
    <w:rsid w:val="00135B22"/>
    <w:rsid w:val="00135C22"/>
    <w:rsid w:val="0013609D"/>
    <w:rsid w:val="001360D4"/>
    <w:rsid w:val="001363F9"/>
    <w:rsid w:val="00136D03"/>
    <w:rsid w:val="0013726B"/>
    <w:rsid w:val="00137B85"/>
    <w:rsid w:val="00140175"/>
    <w:rsid w:val="001403B4"/>
    <w:rsid w:val="0014096C"/>
    <w:rsid w:val="00140D1A"/>
    <w:rsid w:val="00140D92"/>
    <w:rsid w:val="00140E24"/>
    <w:rsid w:val="001413C1"/>
    <w:rsid w:val="001416DD"/>
    <w:rsid w:val="00142191"/>
    <w:rsid w:val="00142FB3"/>
    <w:rsid w:val="001439EB"/>
    <w:rsid w:val="00143B92"/>
    <w:rsid w:val="00143DFD"/>
    <w:rsid w:val="001447C4"/>
    <w:rsid w:val="00144F8E"/>
    <w:rsid w:val="001450E0"/>
    <w:rsid w:val="001450F5"/>
    <w:rsid w:val="00145219"/>
    <w:rsid w:val="00145311"/>
    <w:rsid w:val="001454E3"/>
    <w:rsid w:val="00146B05"/>
    <w:rsid w:val="00146E4C"/>
    <w:rsid w:val="00147B5A"/>
    <w:rsid w:val="00147BA0"/>
    <w:rsid w:val="00147DDB"/>
    <w:rsid w:val="00147FAE"/>
    <w:rsid w:val="0015024A"/>
    <w:rsid w:val="001502EB"/>
    <w:rsid w:val="00150735"/>
    <w:rsid w:val="0015081A"/>
    <w:rsid w:val="001509CB"/>
    <w:rsid w:val="0015101D"/>
    <w:rsid w:val="001513F3"/>
    <w:rsid w:val="001515CE"/>
    <w:rsid w:val="0015198B"/>
    <w:rsid w:val="00152E53"/>
    <w:rsid w:val="0015339C"/>
    <w:rsid w:val="00153780"/>
    <w:rsid w:val="001537D3"/>
    <w:rsid w:val="001537D8"/>
    <w:rsid w:val="00153D29"/>
    <w:rsid w:val="00153DF0"/>
    <w:rsid w:val="001543E6"/>
    <w:rsid w:val="001551F0"/>
    <w:rsid w:val="00155587"/>
    <w:rsid w:val="00155C18"/>
    <w:rsid w:val="0015605D"/>
    <w:rsid w:val="001560BB"/>
    <w:rsid w:val="00156297"/>
    <w:rsid w:val="00156624"/>
    <w:rsid w:val="001567C0"/>
    <w:rsid w:val="0015693E"/>
    <w:rsid w:val="00156C59"/>
    <w:rsid w:val="00156FC0"/>
    <w:rsid w:val="00157316"/>
    <w:rsid w:val="00157681"/>
    <w:rsid w:val="00157684"/>
    <w:rsid w:val="00157FF8"/>
    <w:rsid w:val="0016020C"/>
    <w:rsid w:val="0016051F"/>
    <w:rsid w:val="001606EC"/>
    <w:rsid w:val="00160B8A"/>
    <w:rsid w:val="00161215"/>
    <w:rsid w:val="00161C25"/>
    <w:rsid w:val="00161F37"/>
    <w:rsid w:val="001623D2"/>
    <w:rsid w:val="001626FF"/>
    <w:rsid w:val="00163707"/>
    <w:rsid w:val="001639C9"/>
    <w:rsid w:val="00163E6D"/>
    <w:rsid w:val="00163FA2"/>
    <w:rsid w:val="00164388"/>
    <w:rsid w:val="001643B0"/>
    <w:rsid w:val="00164E5C"/>
    <w:rsid w:val="00164F3A"/>
    <w:rsid w:val="00165042"/>
    <w:rsid w:val="00165065"/>
    <w:rsid w:val="0016530C"/>
    <w:rsid w:val="001653D3"/>
    <w:rsid w:val="001656EE"/>
    <w:rsid w:val="00165894"/>
    <w:rsid w:val="00165A9E"/>
    <w:rsid w:val="00166543"/>
    <w:rsid w:val="001668D5"/>
    <w:rsid w:val="00166A43"/>
    <w:rsid w:val="00166E93"/>
    <w:rsid w:val="00167AA0"/>
    <w:rsid w:val="00167ABC"/>
    <w:rsid w:val="00167B6A"/>
    <w:rsid w:val="001701DE"/>
    <w:rsid w:val="001703BF"/>
    <w:rsid w:val="00170E22"/>
    <w:rsid w:val="00171330"/>
    <w:rsid w:val="001718F2"/>
    <w:rsid w:val="00172172"/>
    <w:rsid w:val="0017223A"/>
    <w:rsid w:val="00172464"/>
    <w:rsid w:val="00172A9D"/>
    <w:rsid w:val="00172AB5"/>
    <w:rsid w:val="00172E4B"/>
    <w:rsid w:val="001731AA"/>
    <w:rsid w:val="00173519"/>
    <w:rsid w:val="0017371D"/>
    <w:rsid w:val="00173E6A"/>
    <w:rsid w:val="00173FED"/>
    <w:rsid w:val="001741D0"/>
    <w:rsid w:val="0017461A"/>
    <w:rsid w:val="00174A9C"/>
    <w:rsid w:val="0017549A"/>
    <w:rsid w:val="00175556"/>
    <w:rsid w:val="0017594A"/>
    <w:rsid w:val="001759B9"/>
    <w:rsid w:val="00175F14"/>
    <w:rsid w:val="00176680"/>
    <w:rsid w:val="00176E2F"/>
    <w:rsid w:val="001772D6"/>
    <w:rsid w:val="0017752B"/>
    <w:rsid w:val="00177918"/>
    <w:rsid w:val="00177AD4"/>
    <w:rsid w:val="00177CE6"/>
    <w:rsid w:val="00177F3E"/>
    <w:rsid w:val="00180858"/>
    <w:rsid w:val="00180D1A"/>
    <w:rsid w:val="001810E8"/>
    <w:rsid w:val="00181BB5"/>
    <w:rsid w:val="00181C36"/>
    <w:rsid w:val="00182006"/>
    <w:rsid w:val="00182588"/>
    <w:rsid w:val="00182D12"/>
    <w:rsid w:val="0018345C"/>
    <w:rsid w:val="001837DB"/>
    <w:rsid w:val="00183BCD"/>
    <w:rsid w:val="00183CF4"/>
    <w:rsid w:val="00183FCC"/>
    <w:rsid w:val="00183FD1"/>
    <w:rsid w:val="00184310"/>
    <w:rsid w:val="001843EA"/>
    <w:rsid w:val="00184672"/>
    <w:rsid w:val="00184D04"/>
    <w:rsid w:val="00185612"/>
    <w:rsid w:val="00185787"/>
    <w:rsid w:val="00185885"/>
    <w:rsid w:val="00186119"/>
    <w:rsid w:val="00186C0A"/>
    <w:rsid w:val="0018734E"/>
    <w:rsid w:val="00187399"/>
    <w:rsid w:val="00187513"/>
    <w:rsid w:val="00190022"/>
    <w:rsid w:val="00190B23"/>
    <w:rsid w:val="00190E00"/>
    <w:rsid w:val="00191364"/>
    <w:rsid w:val="001913B3"/>
    <w:rsid w:val="00191CF7"/>
    <w:rsid w:val="00192987"/>
    <w:rsid w:val="00192E72"/>
    <w:rsid w:val="00192EEA"/>
    <w:rsid w:val="00193099"/>
    <w:rsid w:val="00193ACD"/>
    <w:rsid w:val="00193D5F"/>
    <w:rsid w:val="0019400D"/>
    <w:rsid w:val="001941B3"/>
    <w:rsid w:val="001945A0"/>
    <w:rsid w:val="00194A39"/>
    <w:rsid w:val="00194CD3"/>
    <w:rsid w:val="001957FB"/>
    <w:rsid w:val="001959CE"/>
    <w:rsid w:val="00195BAB"/>
    <w:rsid w:val="00195BF4"/>
    <w:rsid w:val="00195CE1"/>
    <w:rsid w:val="00195E79"/>
    <w:rsid w:val="0019639E"/>
    <w:rsid w:val="00197425"/>
    <w:rsid w:val="0019762F"/>
    <w:rsid w:val="001977CB"/>
    <w:rsid w:val="00197F32"/>
    <w:rsid w:val="0019BD3F"/>
    <w:rsid w:val="001A0059"/>
    <w:rsid w:val="001A040E"/>
    <w:rsid w:val="001A0458"/>
    <w:rsid w:val="001A068E"/>
    <w:rsid w:val="001A0900"/>
    <w:rsid w:val="001A11B5"/>
    <w:rsid w:val="001A1C48"/>
    <w:rsid w:val="001A1C85"/>
    <w:rsid w:val="001A2AC1"/>
    <w:rsid w:val="001A30D1"/>
    <w:rsid w:val="001A3A1F"/>
    <w:rsid w:val="001A3ACD"/>
    <w:rsid w:val="001A3EC0"/>
    <w:rsid w:val="001A3FC4"/>
    <w:rsid w:val="001A43DD"/>
    <w:rsid w:val="001A4984"/>
    <w:rsid w:val="001A4B44"/>
    <w:rsid w:val="001A5022"/>
    <w:rsid w:val="001A54CF"/>
    <w:rsid w:val="001A65FE"/>
    <w:rsid w:val="001A6602"/>
    <w:rsid w:val="001A6964"/>
    <w:rsid w:val="001A69A8"/>
    <w:rsid w:val="001A6EFB"/>
    <w:rsid w:val="001A7037"/>
    <w:rsid w:val="001A7147"/>
    <w:rsid w:val="001A72E2"/>
    <w:rsid w:val="001A7422"/>
    <w:rsid w:val="001A7624"/>
    <w:rsid w:val="001A78F7"/>
    <w:rsid w:val="001A7917"/>
    <w:rsid w:val="001A7E58"/>
    <w:rsid w:val="001B00AE"/>
    <w:rsid w:val="001B01A6"/>
    <w:rsid w:val="001B0897"/>
    <w:rsid w:val="001B0A3E"/>
    <w:rsid w:val="001B13BD"/>
    <w:rsid w:val="001B143F"/>
    <w:rsid w:val="001B150C"/>
    <w:rsid w:val="001B1577"/>
    <w:rsid w:val="001B1636"/>
    <w:rsid w:val="001B175D"/>
    <w:rsid w:val="001B2181"/>
    <w:rsid w:val="001B26E2"/>
    <w:rsid w:val="001B2A63"/>
    <w:rsid w:val="001B30C2"/>
    <w:rsid w:val="001B33E0"/>
    <w:rsid w:val="001B34EB"/>
    <w:rsid w:val="001B3570"/>
    <w:rsid w:val="001B423F"/>
    <w:rsid w:val="001B4707"/>
    <w:rsid w:val="001B49DD"/>
    <w:rsid w:val="001B4B87"/>
    <w:rsid w:val="001B50E3"/>
    <w:rsid w:val="001B513B"/>
    <w:rsid w:val="001B52FD"/>
    <w:rsid w:val="001B5497"/>
    <w:rsid w:val="001B554D"/>
    <w:rsid w:val="001B5807"/>
    <w:rsid w:val="001B585D"/>
    <w:rsid w:val="001B5AA5"/>
    <w:rsid w:val="001B62EF"/>
    <w:rsid w:val="001B649B"/>
    <w:rsid w:val="001B64A3"/>
    <w:rsid w:val="001B672D"/>
    <w:rsid w:val="001B67C3"/>
    <w:rsid w:val="001B71E1"/>
    <w:rsid w:val="001B7339"/>
    <w:rsid w:val="001B761A"/>
    <w:rsid w:val="001B7B36"/>
    <w:rsid w:val="001B7EF0"/>
    <w:rsid w:val="001C0175"/>
    <w:rsid w:val="001C056B"/>
    <w:rsid w:val="001C0B59"/>
    <w:rsid w:val="001C1358"/>
    <w:rsid w:val="001C162F"/>
    <w:rsid w:val="001C2619"/>
    <w:rsid w:val="001C26FB"/>
    <w:rsid w:val="001C291D"/>
    <w:rsid w:val="001C5434"/>
    <w:rsid w:val="001C5754"/>
    <w:rsid w:val="001C57F4"/>
    <w:rsid w:val="001C5B92"/>
    <w:rsid w:val="001C5D62"/>
    <w:rsid w:val="001C5E0F"/>
    <w:rsid w:val="001C5E3F"/>
    <w:rsid w:val="001C62B8"/>
    <w:rsid w:val="001C6317"/>
    <w:rsid w:val="001C7119"/>
    <w:rsid w:val="001C727B"/>
    <w:rsid w:val="001D016D"/>
    <w:rsid w:val="001D04DF"/>
    <w:rsid w:val="001D09DB"/>
    <w:rsid w:val="001D0B6E"/>
    <w:rsid w:val="001D1B0E"/>
    <w:rsid w:val="001D1F21"/>
    <w:rsid w:val="001D23E9"/>
    <w:rsid w:val="001D24FF"/>
    <w:rsid w:val="001D265F"/>
    <w:rsid w:val="001D3AC5"/>
    <w:rsid w:val="001D4170"/>
    <w:rsid w:val="001D431F"/>
    <w:rsid w:val="001D46FA"/>
    <w:rsid w:val="001D4D7D"/>
    <w:rsid w:val="001D5554"/>
    <w:rsid w:val="001D6663"/>
    <w:rsid w:val="001D7CA7"/>
    <w:rsid w:val="001D7F3C"/>
    <w:rsid w:val="001E001B"/>
    <w:rsid w:val="001E0249"/>
    <w:rsid w:val="001E089B"/>
    <w:rsid w:val="001E09E6"/>
    <w:rsid w:val="001E0E18"/>
    <w:rsid w:val="001E12E1"/>
    <w:rsid w:val="001E143D"/>
    <w:rsid w:val="001E1458"/>
    <w:rsid w:val="001E14DA"/>
    <w:rsid w:val="001E172C"/>
    <w:rsid w:val="001E18BE"/>
    <w:rsid w:val="001E192A"/>
    <w:rsid w:val="001E1B23"/>
    <w:rsid w:val="001E1B7F"/>
    <w:rsid w:val="001E1E2E"/>
    <w:rsid w:val="001E27C6"/>
    <w:rsid w:val="001E2842"/>
    <w:rsid w:val="001E2DDB"/>
    <w:rsid w:val="001E2FE1"/>
    <w:rsid w:val="001E3197"/>
    <w:rsid w:val="001E4203"/>
    <w:rsid w:val="001E420D"/>
    <w:rsid w:val="001E472F"/>
    <w:rsid w:val="001E522B"/>
    <w:rsid w:val="001E54D9"/>
    <w:rsid w:val="001E5709"/>
    <w:rsid w:val="001E5917"/>
    <w:rsid w:val="001E5C46"/>
    <w:rsid w:val="001E5FA1"/>
    <w:rsid w:val="001E6726"/>
    <w:rsid w:val="001E69EA"/>
    <w:rsid w:val="001E6FE5"/>
    <w:rsid w:val="001E7C47"/>
    <w:rsid w:val="001F0354"/>
    <w:rsid w:val="001F072E"/>
    <w:rsid w:val="001F07FA"/>
    <w:rsid w:val="001F09D5"/>
    <w:rsid w:val="001F158C"/>
    <w:rsid w:val="001F1ABA"/>
    <w:rsid w:val="001F26D7"/>
    <w:rsid w:val="001F2BCF"/>
    <w:rsid w:val="001F2D40"/>
    <w:rsid w:val="001F34F3"/>
    <w:rsid w:val="001F386A"/>
    <w:rsid w:val="001F3C35"/>
    <w:rsid w:val="001F3E7A"/>
    <w:rsid w:val="001F439F"/>
    <w:rsid w:val="001F4588"/>
    <w:rsid w:val="001F46D8"/>
    <w:rsid w:val="001F47DF"/>
    <w:rsid w:val="001F4E04"/>
    <w:rsid w:val="001F4EB7"/>
    <w:rsid w:val="001F51DF"/>
    <w:rsid w:val="001F5576"/>
    <w:rsid w:val="001F5CFF"/>
    <w:rsid w:val="001F6064"/>
    <w:rsid w:val="001F6942"/>
    <w:rsid w:val="001F6B2F"/>
    <w:rsid w:val="001F6C44"/>
    <w:rsid w:val="001F6DF9"/>
    <w:rsid w:val="001F75FB"/>
    <w:rsid w:val="001F7BEE"/>
    <w:rsid w:val="001F7DC6"/>
    <w:rsid w:val="002006E5"/>
    <w:rsid w:val="00200AA0"/>
    <w:rsid w:val="00200E6E"/>
    <w:rsid w:val="00201100"/>
    <w:rsid w:val="002011A1"/>
    <w:rsid w:val="002013C1"/>
    <w:rsid w:val="00201D70"/>
    <w:rsid w:val="00202028"/>
    <w:rsid w:val="002023A0"/>
    <w:rsid w:val="00202987"/>
    <w:rsid w:val="00202A2D"/>
    <w:rsid w:val="00202D5F"/>
    <w:rsid w:val="00203897"/>
    <w:rsid w:val="00203A65"/>
    <w:rsid w:val="00203B93"/>
    <w:rsid w:val="002056CD"/>
    <w:rsid w:val="00205BE9"/>
    <w:rsid w:val="002062F6"/>
    <w:rsid w:val="002063F7"/>
    <w:rsid w:val="0020669F"/>
    <w:rsid w:val="0020684F"/>
    <w:rsid w:val="00206E13"/>
    <w:rsid w:val="00206EF9"/>
    <w:rsid w:val="002073BE"/>
    <w:rsid w:val="00207573"/>
    <w:rsid w:val="002077AE"/>
    <w:rsid w:val="0020C25F"/>
    <w:rsid w:val="002104DE"/>
    <w:rsid w:val="0021064C"/>
    <w:rsid w:val="00210683"/>
    <w:rsid w:val="0021079A"/>
    <w:rsid w:val="00210E59"/>
    <w:rsid w:val="00210EF8"/>
    <w:rsid w:val="00211149"/>
    <w:rsid w:val="00211815"/>
    <w:rsid w:val="00211B13"/>
    <w:rsid w:val="00211CB7"/>
    <w:rsid w:val="00212320"/>
    <w:rsid w:val="002129B0"/>
    <w:rsid w:val="00212B89"/>
    <w:rsid w:val="00213CEA"/>
    <w:rsid w:val="00214432"/>
    <w:rsid w:val="002146DC"/>
    <w:rsid w:val="0021524C"/>
    <w:rsid w:val="002156AE"/>
    <w:rsid w:val="0021596B"/>
    <w:rsid w:val="00215AC6"/>
    <w:rsid w:val="0021658F"/>
    <w:rsid w:val="0021676D"/>
    <w:rsid w:val="0021693F"/>
    <w:rsid w:val="002169C0"/>
    <w:rsid w:val="00216CC6"/>
    <w:rsid w:val="00216EE2"/>
    <w:rsid w:val="002171FC"/>
    <w:rsid w:val="002174BF"/>
    <w:rsid w:val="00221C6B"/>
    <w:rsid w:val="00222D20"/>
    <w:rsid w:val="002230AF"/>
    <w:rsid w:val="0022314B"/>
    <w:rsid w:val="00223741"/>
    <w:rsid w:val="00223848"/>
    <w:rsid w:val="00224487"/>
    <w:rsid w:val="00224824"/>
    <w:rsid w:val="00224D5C"/>
    <w:rsid w:val="00225045"/>
    <w:rsid w:val="002255FF"/>
    <w:rsid w:val="00225ADA"/>
    <w:rsid w:val="00225C59"/>
    <w:rsid w:val="00226225"/>
    <w:rsid w:val="00227495"/>
    <w:rsid w:val="00227A02"/>
    <w:rsid w:val="00227A7A"/>
    <w:rsid w:val="00227A8E"/>
    <w:rsid w:val="00227B6B"/>
    <w:rsid w:val="00227E30"/>
    <w:rsid w:val="00227FDE"/>
    <w:rsid w:val="00230A3A"/>
    <w:rsid w:val="0023151D"/>
    <w:rsid w:val="00231C26"/>
    <w:rsid w:val="00232487"/>
    <w:rsid w:val="00232636"/>
    <w:rsid w:val="0023288D"/>
    <w:rsid w:val="00232994"/>
    <w:rsid w:val="00232A44"/>
    <w:rsid w:val="00232B7A"/>
    <w:rsid w:val="00232EDE"/>
    <w:rsid w:val="00233036"/>
    <w:rsid w:val="00233056"/>
    <w:rsid w:val="00233862"/>
    <w:rsid w:val="00233A12"/>
    <w:rsid w:val="00233A70"/>
    <w:rsid w:val="00233DC1"/>
    <w:rsid w:val="00233E1E"/>
    <w:rsid w:val="00234817"/>
    <w:rsid w:val="00234B0F"/>
    <w:rsid w:val="00234D19"/>
    <w:rsid w:val="00235069"/>
    <w:rsid w:val="00235508"/>
    <w:rsid w:val="0023613E"/>
    <w:rsid w:val="002367CC"/>
    <w:rsid w:val="00236E65"/>
    <w:rsid w:val="00237137"/>
    <w:rsid w:val="00237247"/>
    <w:rsid w:val="00237B81"/>
    <w:rsid w:val="00237C80"/>
    <w:rsid w:val="00237D73"/>
    <w:rsid w:val="00237DC0"/>
    <w:rsid w:val="00237FA1"/>
    <w:rsid w:val="0024028E"/>
    <w:rsid w:val="00240C1D"/>
    <w:rsid w:val="00240C7D"/>
    <w:rsid w:val="0024181A"/>
    <w:rsid w:val="002419CD"/>
    <w:rsid w:val="00241AED"/>
    <w:rsid w:val="00241E43"/>
    <w:rsid w:val="0024266E"/>
    <w:rsid w:val="00242A68"/>
    <w:rsid w:val="00242B66"/>
    <w:rsid w:val="0024336C"/>
    <w:rsid w:val="002436CF"/>
    <w:rsid w:val="00243D69"/>
    <w:rsid w:val="002441B3"/>
    <w:rsid w:val="00244A22"/>
    <w:rsid w:val="00244DC9"/>
    <w:rsid w:val="00244F3E"/>
    <w:rsid w:val="002450FB"/>
    <w:rsid w:val="002451B9"/>
    <w:rsid w:val="00245C11"/>
    <w:rsid w:val="00245CC9"/>
    <w:rsid w:val="002468A6"/>
    <w:rsid w:val="0024701E"/>
    <w:rsid w:val="0025018C"/>
    <w:rsid w:val="002507A0"/>
    <w:rsid w:val="00250990"/>
    <w:rsid w:val="00250A11"/>
    <w:rsid w:val="00251179"/>
    <w:rsid w:val="00251D65"/>
    <w:rsid w:val="00251FED"/>
    <w:rsid w:val="0025200E"/>
    <w:rsid w:val="002520CC"/>
    <w:rsid w:val="002524B1"/>
    <w:rsid w:val="00252CDC"/>
    <w:rsid w:val="0025318A"/>
    <w:rsid w:val="002532F3"/>
    <w:rsid w:val="00253493"/>
    <w:rsid w:val="00253A32"/>
    <w:rsid w:val="00253E6D"/>
    <w:rsid w:val="002547EB"/>
    <w:rsid w:val="002549E7"/>
    <w:rsid w:val="00254CEB"/>
    <w:rsid w:val="002552BB"/>
    <w:rsid w:val="0025534C"/>
    <w:rsid w:val="00255367"/>
    <w:rsid w:val="00255996"/>
    <w:rsid w:val="00255DB0"/>
    <w:rsid w:val="002562AD"/>
    <w:rsid w:val="00256692"/>
    <w:rsid w:val="00256CDF"/>
    <w:rsid w:val="00257863"/>
    <w:rsid w:val="00257EEA"/>
    <w:rsid w:val="00260A92"/>
    <w:rsid w:val="00260D9F"/>
    <w:rsid w:val="002615E6"/>
    <w:rsid w:val="00261E41"/>
    <w:rsid w:val="00262853"/>
    <w:rsid w:val="00264663"/>
    <w:rsid w:val="002649E1"/>
    <w:rsid w:val="00264BEB"/>
    <w:rsid w:val="0026557A"/>
    <w:rsid w:val="0026583D"/>
    <w:rsid w:val="0026660B"/>
    <w:rsid w:val="00266ED7"/>
    <w:rsid w:val="00267232"/>
    <w:rsid w:val="002677E8"/>
    <w:rsid w:val="00267F67"/>
    <w:rsid w:val="0027012B"/>
    <w:rsid w:val="00270922"/>
    <w:rsid w:val="00270C71"/>
    <w:rsid w:val="00270DA7"/>
    <w:rsid w:val="002716CA"/>
    <w:rsid w:val="002719F1"/>
    <w:rsid w:val="0027233E"/>
    <w:rsid w:val="0027234D"/>
    <w:rsid w:val="0027253E"/>
    <w:rsid w:val="00272551"/>
    <w:rsid w:val="002726C1"/>
    <w:rsid w:val="00274328"/>
    <w:rsid w:val="002745AF"/>
    <w:rsid w:val="00274E51"/>
    <w:rsid w:val="00275977"/>
    <w:rsid w:val="00275AAE"/>
    <w:rsid w:val="00275CAC"/>
    <w:rsid w:val="00275F6E"/>
    <w:rsid w:val="00276658"/>
    <w:rsid w:val="002775DA"/>
    <w:rsid w:val="00277E4B"/>
    <w:rsid w:val="002800EA"/>
    <w:rsid w:val="002801CE"/>
    <w:rsid w:val="00280593"/>
    <w:rsid w:val="00280FE7"/>
    <w:rsid w:val="0028120E"/>
    <w:rsid w:val="00281594"/>
    <w:rsid w:val="002818A7"/>
    <w:rsid w:val="00281CB0"/>
    <w:rsid w:val="00282E9C"/>
    <w:rsid w:val="00282F76"/>
    <w:rsid w:val="0028302E"/>
    <w:rsid w:val="002831D1"/>
    <w:rsid w:val="002843AC"/>
    <w:rsid w:val="00284D50"/>
    <w:rsid w:val="00284FA5"/>
    <w:rsid w:val="00285460"/>
    <w:rsid w:val="0028558C"/>
    <w:rsid w:val="00285A1F"/>
    <w:rsid w:val="00287177"/>
    <w:rsid w:val="0028721A"/>
    <w:rsid w:val="00287523"/>
    <w:rsid w:val="00287544"/>
    <w:rsid w:val="00287A14"/>
    <w:rsid w:val="00287A48"/>
    <w:rsid w:val="00287B5B"/>
    <w:rsid w:val="00287FED"/>
    <w:rsid w:val="0029140B"/>
    <w:rsid w:val="00291656"/>
    <w:rsid w:val="00291A2A"/>
    <w:rsid w:val="002921B4"/>
    <w:rsid w:val="00292579"/>
    <w:rsid w:val="00292B31"/>
    <w:rsid w:val="00292D35"/>
    <w:rsid w:val="0029333C"/>
    <w:rsid w:val="0029342D"/>
    <w:rsid w:val="00293733"/>
    <w:rsid w:val="00293E00"/>
    <w:rsid w:val="00294119"/>
    <w:rsid w:val="00294822"/>
    <w:rsid w:val="00294C9E"/>
    <w:rsid w:val="002950EF"/>
    <w:rsid w:val="002951A8"/>
    <w:rsid w:val="00295857"/>
    <w:rsid w:val="00295863"/>
    <w:rsid w:val="00296037"/>
    <w:rsid w:val="002960B6"/>
    <w:rsid w:val="00296B63"/>
    <w:rsid w:val="00296CF2"/>
    <w:rsid w:val="00296D90"/>
    <w:rsid w:val="00296FCF"/>
    <w:rsid w:val="002970B0"/>
    <w:rsid w:val="0029733D"/>
    <w:rsid w:val="0029733F"/>
    <w:rsid w:val="002977AD"/>
    <w:rsid w:val="00297A47"/>
    <w:rsid w:val="00297C2E"/>
    <w:rsid w:val="00297D1F"/>
    <w:rsid w:val="00297FD7"/>
    <w:rsid w:val="002A00F8"/>
    <w:rsid w:val="002A0239"/>
    <w:rsid w:val="002A049F"/>
    <w:rsid w:val="002A0774"/>
    <w:rsid w:val="002A098C"/>
    <w:rsid w:val="002A0AC3"/>
    <w:rsid w:val="002A0F85"/>
    <w:rsid w:val="002A1D59"/>
    <w:rsid w:val="002A1F90"/>
    <w:rsid w:val="002A213A"/>
    <w:rsid w:val="002A2C29"/>
    <w:rsid w:val="002A3493"/>
    <w:rsid w:val="002A3AB9"/>
    <w:rsid w:val="002A45B3"/>
    <w:rsid w:val="002A485B"/>
    <w:rsid w:val="002A4AB7"/>
    <w:rsid w:val="002A4CDA"/>
    <w:rsid w:val="002A51B8"/>
    <w:rsid w:val="002A5B89"/>
    <w:rsid w:val="002A5F14"/>
    <w:rsid w:val="002A64BA"/>
    <w:rsid w:val="002A6C19"/>
    <w:rsid w:val="002A6DFE"/>
    <w:rsid w:val="002A6F62"/>
    <w:rsid w:val="002A754A"/>
    <w:rsid w:val="002B01A8"/>
    <w:rsid w:val="002B0528"/>
    <w:rsid w:val="002B1241"/>
    <w:rsid w:val="002B12DD"/>
    <w:rsid w:val="002B15E0"/>
    <w:rsid w:val="002B1918"/>
    <w:rsid w:val="002B1C66"/>
    <w:rsid w:val="002B228A"/>
    <w:rsid w:val="002B234E"/>
    <w:rsid w:val="002B294E"/>
    <w:rsid w:val="002B3878"/>
    <w:rsid w:val="002B395A"/>
    <w:rsid w:val="002B3BBA"/>
    <w:rsid w:val="002B3E8D"/>
    <w:rsid w:val="002B49DB"/>
    <w:rsid w:val="002B503A"/>
    <w:rsid w:val="002B56BD"/>
    <w:rsid w:val="002B57E2"/>
    <w:rsid w:val="002B5B04"/>
    <w:rsid w:val="002B64CE"/>
    <w:rsid w:val="002B668A"/>
    <w:rsid w:val="002B6764"/>
    <w:rsid w:val="002B67C1"/>
    <w:rsid w:val="002B6D6F"/>
    <w:rsid w:val="002B71ED"/>
    <w:rsid w:val="002B7914"/>
    <w:rsid w:val="002B7D72"/>
    <w:rsid w:val="002C052C"/>
    <w:rsid w:val="002C0940"/>
    <w:rsid w:val="002C102C"/>
    <w:rsid w:val="002C11E2"/>
    <w:rsid w:val="002C126E"/>
    <w:rsid w:val="002C1BCC"/>
    <w:rsid w:val="002C1E52"/>
    <w:rsid w:val="002C2483"/>
    <w:rsid w:val="002C322E"/>
    <w:rsid w:val="002C35DB"/>
    <w:rsid w:val="002C3644"/>
    <w:rsid w:val="002C3A38"/>
    <w:rsid w:val="002C3D67"/>
    <w:rsid w:val="002C425A"/>
    <w:rsid w:val="002C4C4B"/>
    <w:rsid w:val="002C5B7B"/>
    <w:rsid w:val="002C5B80"/>
    <w:rsid w:val="002C5EAD"/>
    <w:rsid w:val="002C60DF"/>
    <w:rsid w:val="002C64CE"/>
    <w:rsid w:val="002C6518"/>
    <w:rsid w:val="002C6859"/>
    <w:rsid w:val="002C6C42"/>
    <w:rsid w:val="002C6C9D"/>
    <w:rsid w:val="002C6E73"/>
    <w:rsid w:val="002C7326"/>
    <w:rsid w:val="002C78F8"/>
    <w:rsid w:val="002D00EF"/>
    <w:rsid w:val="002D0973"/>
    <w:rsid w:val="002D16ED"/>
    <w:rsid w:val="002D1EDA"/>
    <w:rsid w:val="002D1F7F"/>
    <w:rsid w:val="002D20E1"/>
    <w:rsid w:val="002D25AA"/>
    <w:rsid w:val="002D27D9"/>
    <w:rsid w:val="002D2F1F"/>
    <w:rsid w:val="002D3005"/>
    <w:rsid w:val="002D386C"/>
    <w:rsid w:val="002D38AF"/>
    <w:rsid w:val="002D3993"/>
    <w:rsid w:val="002D3EF0"/>
    <w:rsid w:val="002D4315"/>
    <w:rsid w:val="002D444C"/>
    <w:rsid w:val="002D4A58"/>
    <w:rsid w:val="002D5173"/>
    <w:rsid w:val="002D52F1"/>
    <w:rsid w:val="002D5670"/>
    <w:rsid w:val="002D586D"/>
    <w:rsid w:val="002D588E"/>
    <w:rsid w:val="002D5926"/>
    <w:rsid w:val="002D5F9C"/>
    <w:rsid w:val="002D6847"/>
    <w:rsid w:val="002D6DCD"/>
    <w:rsid w:val="002D7537"/>
    <w:rsid w:val="002D7D44"/>
    <w:rsid w:val="002E018D"/>
    <w:rsid w:val="002E0B05"/>
    <w:rsid w:val="002E0EB2"/>
    <w:rsid w:val="002E1337"/>
    <w:rsid w:val="002E1AD5"/>
    <w:rsid w:val="002E1E0B"/>
    <w:rsid w:val="002E1FDE"/>
    <w:rsid w:val="002E21B7"/>
    <w:rsid w:val="002E2ABD"/>
    <w:rsid w:val="002E36B6"/>
    <w:rsid w:val="002E373D"/>
    <w:rsid w:val="002E3CCD"/>
    <w:rsid w:val="002E3D68"/>
    <w:rsid w:val="002E3E05"/>
    <w:rsid w:val="002E4143"/>
    <w:rsid w:val="002E4738"/>
    <w:rsid w:val="002E5017"/>
    <w:rsid w:val="002E53EF"/>
    <w:rsid w:val="002E5A68"/>
    <w:rsid w:val="002E5ADC"/>
    <w:rsid w:val="002E5CF0"/>
    <w:rsid w:val="002E644B"/>
    <w:rsid w:val="002E6466"/>
    <w:rsid w:val="002E64F2"/>
    <w:rsid w:val="002E6DDE"/>
    <w:rsid w:val="002E7332"/>
    <w:rsid w:val="002E7594"/>
    <w:rsid w:val="002E7B7C"/>
    <w:rsid w:val="002E7CD8"/>
    <w:rsid w:val="002E7FDD"/>
    <w:rsid w:val="002F04F5"/>
    <w:rsid w:val="002F0F90"/>
    <w:rsid w:val="002F10F0"/>
    <w:rsid w:val="002F117C"/>
    <w:rsid w:val="002F1211"/>
    <w:rsid w:val="002F134D"/>
    <w:rsid w:val="002F1C48"/>
    <w:rsid w:val="002F1C61"/>
    <w:rsid w:val="002F2181"/>
    <w:rsid w:val="002F21DD"/>
    <w:rsid w:val="002F2660"/>
    <w:rsid w:val="002F348A"/>
    <w:rsid w:val="002F3635"/>
    <w:rsid w:val="002F3CC3"/>
    <w:rsid w:val="002F3FB0"/>
    <w:rsid w:val="002F4015"/>
    <w:rsid w:val="002F4354"/>
    <w:rsid w:val="002F43C6"/>
    <w:rsid w:val="002F4AA5"/>
    <w:rsid w:val="002F5E2B"/>
    <w:rsid w:val="002F5E35"/>
    <w:rsid w:val="002F6161"/>
    <w:rsid w:val="002F62E2"/>
    <w:rsid w:val="002F65ED"/>
    <w:rsid w:val="002F6A48"/>
    <w:rsid w:val="002F6F15"/>
    <w:rsid w:val="002F7449"/>
    <w:rsid w:val="002F7771"/>
    <w:rsid w:val="002F79B1"/>
    <w:rsid w:val="00300C78"/>
    <w:rsid w:val="00301239"/>
    <w:rsid w:val="003012F9"/>
    <w:rsid w:val="0030130E"/>
    <w:rsid w:val="00301F89"/>
    <w:rsid w:val="003023B6"/>
    <w:rsid w:val="0030280A"/>
    <w:rsid w:val="00302C27"/>
    <w:rsid w:val="00303048"/>
    <w:rsid w:val="0030319D"/>
    <w:rsid w:val="0030333C"/>
    <w:rsid w:val="00303577"/>
    <w:rsid w:val="0030366A"/>
    <w:rsid w:val="00303D05"/>
    <w:rsid w:val="0030403B"/>
    <w:rsid w:val="0030407F"/>
    <w:rsid w:val="003043C2"/>
    <w:rsid w:val="00304CEC"/>
    <w:rsid w:val="003055CC"/>
    <w:rsid w:val="00305E10"/>
    <w:rsid w:val="00306892"/>
    <w:rsid w:val="00306A83"/>
    <w:rsid w:val="00306BBD"/>
    <w:rsid w:val="00307C36"/>
    <w:rsid w:val="00310380"/>
    <w:rsid w:val="003108B3"/>
    <w:rsid w:val="00311093"/>
    <w:rsid w:val="003112F3"/>
    <w:rsid w:val="00311481"/>
    <w:rsid w:val="00311491"/>
    <w:rsid w:val="003115FD"/>
    <w:rsid w:val="00311F28"/>
    <w:rsid w:val="00312964"/>
    <w:rsid w:val="00312E54"/>
    <w:rsid w:val="00312FCA"/>
    <w:rsid w:val="00313554"/>
    <w:rsid w:val="00313988"/>
    <w:rsid w:val="00313D4E"/>
    <w:rsid w:val="00313EBC"/>
    <w:rsid w:val="00314793"/>
    <w:rsid w:val="00315255"/>
    <w:rsid w:val="00315719"/>
    <w:rsid w:val="0031589F"/>
    <w:rsid w:val="0031732F"/>
    <w:rsid w:val="0031750A"/>
    <w:rsid w:val="00317572"/>
    <w:rsid w:val="003175D7"/>
    <w:rsid w:val="003177DF"/>
    <w:rsid w:val="00317C87"/>
    <w:rsid w:val="00317EDA"/>
    <w:rsid w:val="00320CBD"/>
    <w:rsid w:val="00320FB3"/>
    <w:rsid w:val="003210AB"/>
    <w:rsid w:val="003216BD"/>
    <w:rsid w:val="0032264D"/>
    <w:rsid w:val="00322B30"/>
    <w:rsid w:val="00322E6C"/>
    <w:rsid w:val="00322F41"/>
    <w:rsid w:val="003230C6"/>
    <w:rsid w:val="00323252"/>
    <w:rsid w:val="00323421"/>
    <w:rsid w:val="0032345E"/>
    <w:rsid w:val="00324199"/>
    <w:rsid w:val="0032421C"/>
    <w:rsid w:val="00324536"/>
    <w:rsid w:val="00324658"/>
    <w:rsid w:val="0032477F"/>
    <w:rsid w:val="00325284"/>
    <w:rsid w:val="003254B5"/>
    <w:rsid w:val="003254C6"/>
    <w:rsid w:val="00325E0D"/>
    <w:rsid w:val="003265B3"/>
    <w:rsid w:val="003269A8"/>
    <w:rsid w:val="00326A61"/>
    <w:rsid w:val="00326AEA"/>
    <w:rsid w:val="00327063"/>
    <w:rsid w:val="00327777"/>
    <w:rsid w:val="003277BB"/>
    <w:rsid w:val="003304B1"/>
    <w:rsid w:val="00330589"/>
    <w:rsid w:val="00330763"/>
    <w:rsid w:val="00330A46"/>
    <w:rsid w:val="0033135B"/>
    <w:rsid w:val="00332463"/>
    <w:rsid w:val="0033297C"/>
    <w:rsid w:val="00332C38"/>
    <w:rsid w:val="00333E35"/>
    <w:rsid w:val="00333FCF"/>
    <w:rsid w:val="003341CB"/>
    <w:rsid w:val="003343A3"/>
    <w:rsid w:val="003343DA"/>
    <w:rsid w:val="00334403"/>
    <w:rsid w:val="00334553"/>
    <w:rsid w:val="003345B8"/>
    <w:rsid w:val="00334FC5"/>
    <w:rsid w:val="003351C0"/>
    <w:rsid w:val="0033567D"/>
    <w:rsid w:val="00335787"/>
    <w:rsid w:val="003358AC"/>
    <w:rsid w:val="00335A0F"/>
    <w:rsid w:val="00335A2E"/>
    <w:rsid w:val="003362DC"/>
    <w:rsid w:val="0033632F"/>
    <w:rsid w:val="003368EC"/>
    <w:rsid w:val="003369AB"/>
    <w:rsid w:val="00336B8F"/>
    <w:rsid w:val="00340760"/>
    <w:rsid w:val="0034080D"/>
    <w:rsid w:val="00340C72"/>
    <w:rsid w:val="00341606"/>
    <w:rsid w:val="003422FC"/>
    <w:rsid w:val="003425F0"/>
    <w:rsid w:val="00342EEA"/>
    <w:rsid w:val="0034307F"/>
    <w:rsid w:val="003431F9"/>
    <w:rsid w:val="00343E67"/>
    <w:rsid w:val="00343FD7"/>
    <w:rsid w:val="00344269"/>
    <w:rsid w:val="0034431A"/>
    <w:rsid w:val="00344C94"/>
    <w:rsid w:val="00344F48"/>
    <w:rsid w:val="00344FF0"/>
    <w:rsid w:val="00345269"/>
    <w:rsid w:val="0034556B"/>
    <w:rsid w:val="0034597E"/>
    <w:rsid w:val="00345D9D"/>
    <w:rsid w:val="003462F7"/>
    <w:rsid w:val="0034649A"/>
    <w:rsid w:val="003466D0"/>
    <w:rsid w:val="003467E5"/>
    <w:rsid w:val="00346D2C"/>
    <w:rsid w:val="00347761"/>
    <w:rsid w:val="00347806"/>
    <w:rsid w:val="00347CC0"/>
    <w:rsid w:val="00347DDF"/>
    <w:rsid w:val="00347E05"/>
    <w:rsid w:val="0035066A"/>
    <w:rsid w:val="003506EA"/>
    <w:rsid w:val="00350B8D"/>
    <w:rsid w:val="00350EDC"/>
    <w:rsid w:val="00350FB5"/>
    <w:rsid w:val="00350FC3"/>
    <w:rsid w:val="00351832"/>
    <w:rsid w:val="003518C8"/>
    <w:rsid w:val="00352D86"/>
    <w:rsid w:val="00353015"/>
    <w:rsid w:val="0035318C"/>
    <w:rsid w:val="003531A4"/>
    <w:rsid w:val="0035370F"/>
    <w:rsid w:val="00353BF9"/>
    <w:rsid w:val="00353CB2"/>
    <w:rsid w:val="00353E80"/>
    <w:rsid w:val="00353EBA"/>
    <w:rsid w:val="00354089"/>
    <w:rsid w:val="00354328"/>
    <w:rsid w:val="003544CA"/>
    <w:rsid w:val="00355056"/>
    <w:rsid w:val="003556A0"/>
    <w:rsid w:val="00355759"/>
    <w:rsid w:val="003562E8"/>
    <w:rsid w:val="0035713C"/>
    <w:rsid w:val="0035721F"/>
    <w:rsid w:val="00357552"/>
    <w:rsid w:val="003575BF"/>
    <w:rsid w:val="00357B20"/>
    <w:rsid w:val="00357C7D"/>
    <w:rsid w:val="00357DD3"/>
    <w:rsid w:val="00357E3B"/>
    <w:rsid w:val="00360034"/>
    <w:rsid w:val="0036051F"/>
    <w:rsid w:val="00360994"/>
    <w:rsid w:val="00360AD2"/>
    <w:rsid w:val="0036160F"/>
    <w:rsid w:val="00362786"/>
    <w:rsid w:val="00362E84"/>
    <w:rsid w:val="0036358D"/>
    <w:rsid w:val="00363780"/>
    <w:rsid w:val="00363A7A"/>
    <w:rsid w:val="00364288"/>
    <w:rsid w:val="0036428F"/>
    <w:rsid w:val="003643B6"/>
    <w:rsid w:val="0036496A"/>
    <w:rsid w:val="00365595"/>
    <w:rsid w:val="0036590A"/>
    <w:rsid w:val="00366757"/>
    <w:rsid w:val="00366BD1"/>
    <w:rsid w:val="00367883"/>
    <w:rsid w:val="00367E47"/>
    <w:rsid w:val="00367E93"/>
    <w:rsid w:val="00370967"/>
    <w:rsid w:val="00370C33"/>
    <w:rsid w:val="00371DC7"/>
    <w:rsid w:val="003723F8"/>
    <w:rsid w:val="00372757"/>
    <w:rsid w:val="0037294C"/>
    <w:rsid w:val="00372A8B"/>
    <w:rsid w:val="00373105"/>
    <w:rsid w:val="003733CD"/>
    <w:rsid w:val="00374113"/>
    <w:rsid w:val="00374640"/>
    <w:rsid w:val="00374838"/>
    <w:rsid w:val="00374BD6"/>
    <w:rsid w:val="00374DA2"/>
    <w:rsid w:val="00375474"/>
    <w:rsid w:val="00375A3A"/>
    <w:rsid w:val="00375C2D"/>
    <w:rsid w:val="00375D14"/>
    <w:rsid w:val="003771FD"/>
    <w:rsid w:val="0037749A"/>
    <w:rsid w:val="00377EB9"/>
    <w:rsid w:val="003804F6"/>
    <w:rsid w:val="003808CB"/>
    <w:rsid w:val="00380F20"/>
    <w:rsid w:val="003811A8"/>
    <w:rsid w:val="003811C0"/>
    <w:rsid w:val="00381302"/>
    <w:rsid w:val="0038154E"/>
    <w:rsid w:val="003817A1"/>
    <w:rsid w:val="003818C7"/>
    <w:rsid w:val="0038218E"/>
    <w:rsid w:val="00382837"/>
    <w:rsid w:val="00382904"/>
    <w:rsid w:val="003829E7"/>
    <w:rsid w:val="003834DE"/>
    <w:rsid w:val="00383706"/>
    <w:rsid w:val="00383750"/>
    <w:rsid w:val="00383873"/>
    <w:rsid w:val="00384BE3"/>
    <w:rsid w:val="00384F34"/>
    <w:rsid w:val="00384FD4"/>
    <w:rsid w:val="00384FFB"/>
    <w:rsid w:val="003857E7"/>
    <w:rsid w:val="00385CB0"/>
    <w:rsid w:val="0038614B"/>
    <w:rsid w:val="0038619D"/>
    <w:rsid w:val="003869AA"/>
    <w:rsid w:val="00387298"/>
    <w:rsid w:val="0038E1FE"/>
    <w:rsid w:val="003903C9"/>
    <w:rsid w:val="00390953"/>
    <w:rsid w:val="003917DD"/>
    <w:rsid w:val="00391919"/>
    <w:rsid w:val="00391B03"/>
    <w:rsid w:val="00391CF7"/>
    <w:rsid w:val="00391F91"/>
    <w:rsid w:val="003921BD"/>
    <w:rsid w:val="00392D60"/>
    <w:rsid w:val="003932A2"/>
    <w:rsid w:val="003939E8"/>
    <w:rsid w:val="003940B1"/>
    <w:rsid w:val="00394651"/>
    <w:rsid w:val="00394B3F"/>
    <w:rsid w:val="00395394"/>
    <w:rsid w:val="003958E1"/>
    <w:rsid w:val="003959F9"/>
    <w:rsid w:val="00395ED9"/>
    <w:rsid w:val="00395F0F"/>
    <w:rsid w:val="0039603E"/>
    <w:rsid w:val="0039606A"/>
    <w:rsid w:val="003960A7"/>
    <w:rsid w:val="003969E2"/>
    <w:rsid w:val="00396A7A"/>
    <w:rsid w:val="00396FA7"/>
    <w:rsid w:val="003973D7"/>
    <w:rsid w:val="00397708"/>
    <w:rsid w:val="00397C7E"/>
    <w:rsid w:val="003A0255"/>
    <w:rsid w:val="003A02F9"/>
    <w:rsid w:val="003A0422"/>
    <w:rsid w:val="003A0677"/>
    <w:rsid w:val="003A074F"/>
    <w:rsid w:val="003A0808"/>
    <w:rsid w:val="003A0B17"/>
    <w:rsid w:val="003A0C6C"/>
    <w:rsid w:val="003A0E0A"/>
    <w:rsid w:val="003A0E5F"/>
    <w:rsid w:val="003A0EFD"/>
    <w:rsid w:val="003A19C3"/>
    <w:rsid w:val="003A20ED"/>
    <w:rsid w:val="003A222C"/>
    <w:rsid w:val="003A2277"/>
    <w:rsid w:val="003A2578"/>
    <w:rsid w:val="003A2F8B"/>
    <w:rsid w:val="003A3259"/>
    <w:rsid w:val="003A34D9"/>
    <w:rsid w:val="003A3535"/>
    <w:rsid w:val="003A37E1"/>
    <w:rsid w:val="003A3DAE"/>
    <w:rsid w:val="003A3E7B"/>
    <w:rsid w:val="003A3F3F"/>
    <w:rsid w:val="003A45FF"/>
    <w:rsid w:val="003A4720"/>
    <w:rsid w:val="003A4D77"/>
    <w:rsid w:val="003A4FFD"/>
    <w:rsid w:val="003A544E"/>
    <w:rsid w:val="003A54CC"/>
    <w:rsid w:val="003A5551"/>
    <w:rsid w:val="003A5587"/>
    <w:rsid w:val="003A5846"/>
    <w:rsid w:val="003A5952"/>
    <w:rsid w:val="003A68D8"/>
    <w:rsid w:val="003A6BF0"/>
    <w:rsid w:val="003A6D59"/>
    <w:rsid w:val="003A78FD"/>
    <w:rsid w:val="003B0235"/>
    <w:rsid w:val="003B058F"/>
    <w:rsid w:val="003B0C6A"/>
    <w:rsid w:val="003B1DA3"/>
    <w:rsid w:val="003B26FD"/>
    <w:rsid w:val="003B28D9"/>
    <w:rsid w:val="003B293A"/>
    <w:rsid w:val="003B2E05"/>
    <w:rsid w:val="003B31D2"/>
    <w:rsid w:val="003B358E"/>
    <w:rsid w:val="003B39E1"/>
    <w:rsid w:val="003B3B66"/>
    <w:rsid w:val="003B4C39"/>
    <w:rsid w:val="003B5367"/>
    <w:rsid w:val="003B5986"/>
    <w:rsid w:val="003B5A00"/>
    <w:rsid w:val="003B64D3"/>
    <w:rsid w:val="003B6CA5"/>
    <w:rsid w:val="003B7B8D"/>
    <w:rsid w:val="003B7BB6"/>
    <w:rsid w:val="003B7E69"/>
    <w:rsid w:val="003B7E6E"/>
    <w:rsid w:val="003C0080"/>
    <w:rsid w:val="003C0123"/>
    <w:rsid w:val="003C044A"/>
    <w:rsid w:val="003C04C5"/>
    <w:rsid w:val="003C0785"/>
    <w:rsid w:val="003C0EA0"/>
    <w:rsid w:val="003C1956"/>
    <w:rsid w:val="003C1BBE"/>
    <w:rsid w:val="003C2468"/>
    <w:rsid w:val="003C2BDC"/>
    <w:rsid w:val="003C2C16"/>
    <w:rsid w:val="003C2C4D"/>
    <w:rsid w:val="003C301E"/>
    <w:rsid w:val="003C3043"/>
    <w:rsid w:val="003C426F"/>
    <w:rsid w:val="003C42AA"/>
    <w:rsid w:val="003C4C31"/>
    <w:rsid w:val="003C4EC2"/>
    <w:rsid w:val="003C4F72"/>
    <w:rsid w:val="003C5084"/>
    <w:rsid w:val="003C55A2"/>
    <w:rsid w:val="003C5909"/>
    <w:rsid w:val="003C5D6F"/>
    <w:rsid w:val="003C62F1"/>
    <w:rsid w:val="003C687F"/>
    <w:rsid w:val="003C6BE3"/>
    <w:rsid w:val="003C76CA"/>
    <w:rsid w:val="003D063C"/>
    <w:rsid w:val="003D06C3"/>
    <w:rsid w:val="003D1263"/>
    <w:rsid w:val="003D12D7"/>
    <w:rsid w:val="003D1521"/>
    <w:rsid w:val="003D2A20"/>
    <w:rsid w:val="003D3696"/>
    <w:rsid w:val="003D3757"/>
    <w:rsid w:val="003D389C"/>
    <w:rsid w:val="003D3A52"/>
    <w:rsid w:val="003D566E"/>
    <w:rsid w:val="003D5F50"/>
    <w:rsid w:val="003D6B89"/>
    <w:rsid w:val="003D6D03"/>
    <w:rsid w:val="003D788F"/>
    <w:rsid w:val="003D7BA1"/>
    <w:rsid w:val="003E0102"/>
    <w:rsid w:val="003E0553"/>
    <w:rsid w:val="003E05C9"/>
    <w:rsid w:val="003E060B"/>
    <w:rsid w:val="003E0AEE"/>
    <w:rsid w:val="003E117D"/>
    <w:rsid w:val="003E1263"/>
    <w:rsid w:val="003E13B8"/>
    <w:rsid w:val="003E14F2"/>
    <w:rsid w:val="003E1589"/>
    <w:rsid w:val="003E1CFA"/>
    <w:rsid w:val="003E2744"/>
    <w:rsid w:val="003E2AF9"/>
    <w:rsid w:val="003E2C1F"/>
    <w:rsid w:val="003E2D80"/>
    <w:rsid w:val="003E2FC6"/>
    <w:rsid w:val="003E2FF6"/>
    <w:rsid w:val="003E3130"/>
    <w:rsid w:val="003E3387"/>
    <w:rsid w:val="003E33FA"/>
    <w:rsid w:val="003E377B"/>
    <w:rsid w:val="003E3DB5"/>
    <w:rsid w:val="003E3E9D"/>
    <w:rsid w:val="003E4093"/>
    <w:rsid w:val="003E4119"/>
    <w:rsid w:val="003E43AC"/>
    <w:rsid w:val="003E43D7"/>
    <w:rsid w:val="003E46E1"/>
    <w:rsid w:val="003E4F2E"/>
    <w:rsid w:val="003E509B"/>
    <w:rsid w:val="003E5456"/>
    <w:rsid w:val="003E576F"/>
    <w:rsid w:val="003E587D"/>
    <w:rsid w:val="003E649B"/>
    <w:rsid w:val="003E6503"/>
    <w:rsid w:val="003E73C6"/>
    <w:rsid w:val="003E7BDF"/>
    <w:rsid w:val="003E7E64"/>
    <w:rsid w:val="003E7E95"/>
    <w:rsid w:val="003E7FE1"/>
    <w:rsid w:val="003F07F6"/>
    <w:rsid w:val="003F09AD"/>
    <w:rsid w:val="003F0D96"/>
    <w:rsid w:val="003F0DB3"/>
    <w:rsid w:val="003F11FD"/>
    <w:rsid w:val="003F19E9"/>
    <w:rsid w:val="003F1BF1"/>
    <w:rsid w:val="003F20AE"/>
    <w:rsid w:val="003F2112"/>
    <w:rsid w:val="003F2644"/>
    <w:rsid w:val="003F2BBE"/>
    <w:rsid w:val="003F2DB2"/>
    <w:rsid w:val="003F2EE3"/>
    <w:rsid w:val="003F3E1F"/>
    <w:rsid w:val="003F3E9A"/>
    <w:rsid w:val="003F4203"/>
    <w:rsid w:val="003F4A26"/>
    <w:rsid w:val="003F4AC6"/>
    <w:rsid w:val="003F5A60"/>
    <w:rsid w:val="003F6421"/>
    <w:rsid w:val="003F6C23"/>
    <w:rsid w:val="003F72A9"/>
    <w:rsid w:val="003F75D9"/>
    <w:rsid w:val="003F790E"/>
    <w:rsid w:val="003F7C57"/>
    <w:rsid w:val="003F7D58"/>
    <w:rsid w:val="00400228"/>
    <w:rsid w:val="004002AF"/>
    <w:rsid w:val="00400353"/>
    <w:rsid w:val="00400895"/>
    <w:rsid w:val="004009BB"/>
    <w:rsid w:val="00400D7C"/>
    <w:rsid w:val="00400D9B"/>
    <w:rsid w:val="00401264"/>
    <w:rsid w:val="0040144B"/>
    <w:rsid w:val="0040153B"/>
    <w:rsid w:val="00401D83"/>
    <w:rsid w:val="00403ACB"/>
    <w:rsid w:val="00403B3A"/>
    <w:rsid w:val="00403B58"/>
    <w:rsid w:val="00403CB5"/>
    <w:rsid w:val="004040C0"/>
    <w:rsid w:val="004042B2"/>
    <w:rsid w:val="00404471"/>
    <w:rsid w:val="00404E1B"/>
    <w:rsid w:val="004050C2"/>
    <w:rsid w:val="004059D7"/>
    <w:rsid w:val="004059DA"/>
    <w:rsid w:val="004059E3"/>
    <w:rsid w:val="00405AC3"/>
    <w:rsid w:val="00405C31"/>
    <w:rsid w:val="004064D4"/>
    <w:rsid w:val="00406B98"/>
    <w:rsid w:val="00407243"/>
    <w:rsid w:val="004072E1"/>
    <w:rsid w:val="004100C3"/>
    <w:rsid w:val="00410358"/>
    <w:rsid w:val="00410586"/>
    <w:rsid w:val="004108B9"/>
    <w:rsid w:val="004108F4"/>
    <w:rsid w:val="00411035"/>
    <w:rsid w:val="004110A6"/>
    <w:rsid w:val="004113FA"/>
    <w:rsid w:val="0041193C"/>
    <w:rsid w:val="00411A7F"/>
    <w:rsid w:val="00412253"/>
    <w:rsid w:val="0041253D"/>
    <w:rsid w:val="004126D9"/>
    <w:rsid w:val="00412C11"/>
    <w:rsid w:val="00413090"/>
    <w:rsid w:val="004135FB"/>
    <w:rsid w:val="00413A46"/>
    <w:rsid w:val="00413F6D"/>
    <w:rsid w:val="00414A16"/>
    <w:rsid w:val="00415167"/>
    <w:rsid w:val="00415359"/>
    <w:rsid w:val="0041553D"/>
    <w:rsid w:val="00415C67"/>
    <w:rsid w:val="00416EFF"/>
    <w:rsid w:val="0041729E"/>
    <w:rsid w:val="00420D01"/>
    <w:rsid w:val="00420EE8"/>
    <w:rsid w:val="004217F0"/>
    <w:rsid w:val="0042180F"/>
    <w:rsid w:val="00421934"/>
    <w:rsid w:val="00421F8C"/>
    <w:rsid w:val="00422421"/>
    <w:rsid w:val="00422439"/>
    <w:rsid w:val="00422C7C"/>
    <w:rsid w:val="00423181"/>
    <w:rsid w:val="004232EF"/>
    <w:rsid w:val="00423458"/>
    <w:rsid w:val="00423527"/>
    <w:rsid w:val="00423AEB"/>
    <w:rsid w:val="00423B1D"/>
    <w:rsid w:val="00423C81"/>
    <w:rsid w:val="004240DF"/>
    <w:rsid w:val="0042441E"/>
    <w:rsid w:val="0042469C"/>
    <w:rsid w:val="004246ED"/>
    <w:rsid w:val="004248C4"/>
    <w:rsid w:val="00424AAF"/>
    <w:rsid w:val="00424AD2"/>
    <w:rsid w:val="00425439"/>
    <w:rsid w:val="00425997"/>
    <w:rsid w:val="00425BD8"/>
    <w:rsid w:val="00425E75"/>
    <w:rsid w:val="004260DF"/>
    <w:rsid w:val="004263B2"/>
    <w:rsid w:val="00426456"/>
    <w:rsid w:val="0042655D"/>
    <w:rsid w:val="00426CBB"/>
    <w:rsid w:val="00427050"/>
    <w:rsid w:val="00427B24"/>
    <w:rsid w:val="00427D33"/>
    <w:rsid w:val="00427F02"/>
    <w:rsid w:val="0043002D"/>
    <w:rsid w:val="00430144"/>
    <w:rsid w:val="0043022A"/>
    <w:rsid w:val="004305BA"/>
    <w:rsid w:val="00430F80"/>
    <w:rsid w:val="004312DC"/>
    <w:rsid w:val="004313C7"/>
    <w:rsid w:val="00431C64"/>
    <w:rsid w:val="00431D41"/>
    <w:rsid w:val="00431DE4"/>
    <w:rsid w:val="004325B7"/>
    <w:rsid w:val="00432A76"/>
    <w:rsid w:val="00432E79"/>
    <w:rsid w:val="00432F38"/>
    <w:rsid w:val="00432F60"/>
    <w:rsid w:val="00433010"/>
    <w:rsid w:val="0043353D"/>
    <w:rsid w:val="00433657"/>
    <w:rsid w:val="00433B93"/>
    <w:rsid w:val="00433BBE"/>
    <w:rsid w:val="00433E98"/>
    <w:rsid w:val="00434250"/>
    <w:rsid w:val="00434261"/>
    <w:rsid w:val="00434411"/>
    <w:rsid w:val="004347E4"/>
    <w:rsid w:val="00434E7C"/>
    <w:rsid w:val="0043503B"/>
    <w:rsid w:val="004355F5"/>
    <w:rsid w:val="0043564F"/>
    <w:rsid w:val="0043675C"/>
    <w:rsid w:val="00436853"/>
    <w:rsid w:val="00436D65"/>
    <w:rsid w:val="00437012"/>
    <w:rsid w:val="0043757D"/>
    <w:rsid w:val="00437FFC"/>
    <w:rsid w:val="00440912"/>
    <w:rsid w:val="00441227"/>
    <w:rsid w:val="004419FE"/>
    <w:rsid w:val="00441AE8"/>
    <w:rsid w:val="00441E4A"/>
    <w:rsid w:val="004426CD"/>
    <w:rsid w:val="00442BC9"/>
    <w:rsid w:val="00442C8B"/>
    <w:rsid w:val="004434F4"/>
    <w:rsid w:val="004435EE"/>
    <w:rsid w:val="00443892"/>
    <w:rsid w:val="0044406D"/>
    <w:rsid w:val="004440FD"/>
    <w:rsid w:val="00444129"/>
    <w:rsid w:val="004443CF"/>
    <w:rsid w:val="00444EA4"/>
    <w:rsid w:val="0044500D"/>
    <w:rsid w:val="00445484"/>
    <w:rsid w:val="004454E6"/>
    <w:rsid w:val="00445622"/>
    <w:rsid w:val="004457D1"/>
    <w:rsid w:val="00445A72"/>
    <w:rsid w:val="00445BE5"/>
    <w:rsid w:val="0044605B"/>
    <w:rsid w:val="00446063"/>
    <w:rsid w:val="00446BE4"/>
    <w:rsid w:val="00446EF4"/>
    <w:rsid w:val="004472CF"/>
    <w:rsid w:val="0044744F"/>
    <w:rsid w:val="00447572"/>
    <w:rsid w:val="00447B1B"/>
    <w:rsid w:val="00447C29"/>
    <w:rsid w:val="00450015"/>
    <w:rsid w:val="00450309"/>
    <w:rsid w:val="0045051A"/>
    <w:rsid w:val="00450528"/>
    <w:rsid w:val="004509AD"/>
    <w:rsid w:val="00450BB5"/>
    <w:rsid w:val="00450C5A"/>
    <w:rsid w:val="004511A3"/>
    <w:rsid w:val="00451876"/>
    <w:rsid w:val="00451889"/>
    <w:rsid w:val="00452D71"/>
    <w:rsid w:val="00453506"/>
    <w:rsid w:val="00453911"/>
    <w:rsid w:val="00453999"/>
    <w:rsid w:val="00453A15"/>
    <w:rsid w:val="00454091"/>
    <w:rsid w:val="00454795"/>
    <w:rsid w:val="0045492A"/>
    <w:rsid w:val="00454BCF"/>
    <w:rsid w:val="004553E3"/>
    <w:rsid w:val="004556B8"/>
    <w:rsid w:val="00455D42"/>
    <w:rsid w:val="0045623D"/>
    <w:rsid w:val="004563E6"/>
    <w:rsid w:val="0045646F"/>
    <w:rsid w:val="0045662E"/>
    <w:rsid w:val="004566D2"/>
    <w:rsid w:val="00456A16"/>
    <w:rsid w:val="00456DD0"/>
    <w:rsid w:val="00456F2E"/>
    <w:rsid w:val="0045715F"/>
    <w:rsid w:val="00457556"/>
    <w:rsid w:val="0045755F"/>
    <w:rsid w:val="00457F45"/>
    <w:rsid w:val="0046033B"/>
    <w:rsid w:val="00460966"/>
    <w:rsid w:val="00460AAD"/>
    <w:rsid w:val="004610B2"/>
    <w:rsid w:val="0046133B"/>
    <w:rsid w:val="00461563"/>
    <w:rsid w:val="0046167D"/>
    <w:rsid w:val="004616CB"/>
    <w:rsid w:val="00461A69"/>
    <w:rsid w:val="00461A81"/>
    <w:rsid w:val="00461B4B"/>
    <w:rsid w:val="0046205C"/>
    <w:rsid w:val="0046219D"/>
    <w:rsid w:val="0046266D"/>
    <w:rsid w:val="00462F04"/>
    <w:rsid w:val="004630F7"/>
    <w:rsid w:val="004640FB"/>
    <w:rsid w:val="0046474D"/>
    <w:rsid w:val="00464790"/>
    <w:rsid w:val="00464A64"/>
    <w:rsid w:val="00464AB2"/>
    <w:rsid w:val="004650C0"/>
    <w:rsid w:val="004651D8"/>
    <w:rsid w:val="004652E4"/>
    <w:rsid w:val="00465559"/>
    <w:rsid w:val="004656CE"/>
    <w:rsid w:val="00465B62"/>
    <w:rsid w:val="00465FD2"/>
    <w:rsid w:val="00466430"/>
    <w:rsid w:val="004668D0"/>
    <w:rsid w:val="004669AE"/>
    <w:rsid w:val="004669DF"/>
    <w:rsid w:val="00466D60"/>
    <w:rsid w:val="00467320"/>
    <w:rsid w:val="004673C0"/>
    <w:rsid w:val="00467A68"/>
    <w:rsid w:val="00467B50"/>
    <w:rsid w:val="00467CE8"/>
    <w:rsid w:val="00467DBB"/>
    <w:rsid w:val="00467DFE"/>
    <w:rsid w:val="0047064D"/>
    <w:rsid w:val="00470AF7"/>
    <w:rsid w:val="00470D39"/>
    <w:rsid w:val="004712BE"/>
    <w:rsid w:val="00471A26"/>
    <w:rsid w:val="00471A6E"/>
    <w:rsid w:val="00471ACD"/>
    <w:rsid w:val="00471CFE"/>
    <w:rsid w:val="00471D49"/>
    <w:rsid w:val="004723C5"/>
    <w:rsid w:val="0047284D"/>
    <w:rsid w:val="00472BAD"/>
    <w:rsid w:val="00472E54"/>
    <w:rsid w:val="004734C5"/>
    <w:rsid w:val="0047365A"/>
    <w:rsid w:val="00473DAB"/>
    <w:rsid w:val="00474F2B"/>
    <w:rsid w:val="004753A0"/>
    <w:rsid w:val="00475AAC"/>
    <w:rsid w:val="00475F5B"/>
    <w:rsid w:val="00476330"/>
    <w:rsid w:val="0047660F"/>
    <w:rsid w:val="00476CEE"/>
    <w:rsid w:val="00477224"/>
    <w:rsid w:val="004777C6"/>
    <w:rsid w:val="00477823"/>
    <w:rsid w:val="00477C4A"/>
    <w:rsid w:val="00480490"/>
    <w:rsid w:val="0048076F"/>
    <w:rsid w:val="004811C6"/>
    <w:rsid w:val="004817C2"/>
    <w:rsid w:val="0048242B"/>
    <w:rsid w:val="004825C3"/>
    <w:rsid w:val="00482835"/>
    <w:rsid w:val="00482EA0"/>
    <w:rsid w:val="00483BAF"/>
    <w:rsid w:val="00483BE9"/>
    <w:rsid w:val="00483D6D"/>
    <w:rsid w:val="00484056"/>
    <w:rsid w:val="004843EE"/>
    <w:rsid w:val="0048458E"/>
    <w:rsid w:val="004849E2"/>
    <w:rsid w:val="00484B29"/>
    <w:rsid w:val="00484B57"/>
    <w:rsid w:val="00484D36"/>
    <w:rsid w:val="0048549C"/>
    <w:rsid w:val="00486056"/>
    <w:rsid w:val="00486804"/>
    <w:rsid w:val="00486F13"/>
    <w:rsid w:val="0048741D"/>
    <w:rsid w:val="00487623"/>
    <w:rsid w:val="004876D0"/>
    <w:rsid w:val="004876F5"/>
    <w:rsid w:val="00487C65"/>
    <w:rsid w:val="004901E9"/>
    <w:rsid w:val="004902C0"/>
    <w:rsid w:val="00490775"/>
    <w:rsid w:val="004908A9"/>
    <w:rsid w:val="00490A58"/>
    <w:rsid w:val="004913DC"/>
    <w:rsid w:val="00491B12"/>
    <w:rsid w:val="00491FDD"/>
    <w:rsid w:val="0049204D"/>
    <w:rsid w:val="0049232F"/>
    <w:rsid w:val="0049239B"/>
    <w:rsid w:val="00492832"/>
    <w:rsid w:val="00492A17"/>
    <w:rsid w:val="00492B8B"/>
    <w:rsid w:val="00492E82"/>
    <w:rsid w:val="004930D4"/>
    <w:rsid w:val="00493350"/>
    <w:rsid w:val="00493AA8"/>
    <w:rsid w:val="00493F14"/>
    <w:rsid w:val="00493F84"/>
    <w:rsid w:val="00494B0D"/>
    <w:rsid w:val="00494B27"/>
    <w:rsid w:val="00494BE1"/>
    <w:rsid w:val="00494E6B"/>
    <w:rsid w:val="00494F15"/>
    <w:rsid w:val="004952C8"/>
    <w:rsid w:val="00495402"/>
    <w:rsid w:val="00495477"/>
    <w:rsid w:val="00495E37"/>
    <w:rsid w:val="00496A88"/>
    <w:rsid w:val="00497284"/>
    <w:rsid w:val="004974C8"/>
    <w:rsid w:val="00497950"/>
    <w:rsid w:val="004A0C82"/>
    <w:rsid w:val="004A0F74"/>
    <w:rsid w:val="004A1292"/>
    <w:rsid w:val="004A1B7E"/>
    <w:rsid w:val="004A1E10"/>
    <w:rsid w:val="004A1F27"/>
    <w:rsid w:val="004A2528"/>
    <w:rsid w:val="004A2775"/>
    <w:rsid w:val="004A2C02"/>
    <w:rsid w:val="004A3200"/>
    <w:rsid w:val="004A349D"/>
    <w:rsid w:val="004A3A65"/>
    <w:rsid w:val="004A3FC6"/>
    <w:rsid w:val="004A437F"/>
    <w:rsid w:val="004A44B7"/>
    <w:rsid w:val="004A47E6"/>
    <w:rsid w:val="004A48D9"/>
    <w:rsid w:val="004A5AEB"/>
    <w:rsid w:val="004A5D4D"/>
    <w:rsid w:val="004A6073"/>
    <w:rsid w:val="004A68FB"/>
    <w:rsid w:val="004A6C72"/>
    <w:rsid w:val="004A7007"/>
    <w:rsid w:val="004A7165"/>
    <w:rsid w:val="004A76D0"/>
    <w:rsid w:val="004A780E"/>
    <w:rsid w:val="004A7819"/>
    <w:rsid w:val="004A7FA0"/>
    <w:rsid w:val="004B1051"/>
    <w:rsid w:val="004B1702"/>
    <w:rsid w:val="004B184A"/>
    <w:rsid w:val="004B2410"/>
    <w:rsid w:val="004B24E6"/>
    <w:rsid w:val="004B29D7"/>
    <w:rsid w:val="004B2B6B"/>
    <w:rsid w:val="004B37F6"/>
    <w:rsid w:val="004B38E1"/>
    <w:rsid w:val="004B3CE0"/>
    <w:rsid w:val="004B4188"/>
    <w:rsid w:val="004B4244"/>
    <w:rsid w:val="004B4D5C"/>
    <w:rsid w:val="004B50C0"/>
    <w:rsid w:val="004B5183"/>
    <w:rsid w:val="004B58E0"/>
    <w:rsid w:val="004B59AC"/>
    <w:rsid w:val="004B5A3B"/>
    <w:rsid w:val="004B5B8B"/>
    <w:rsid w:val="004B5F53"/>
    <w:rsid w:val="004B6A40"/>
    <w:rsid w:val="004B6E03"/>
    <w:rsid w:val="004B70E8"/>
    <w:rsid w:val="004B7457"/>
    <w:rsid w:val="004C00D2"/>
    <w:rsid w:val="004C0149"/>
    <w:rsid w:val="004C01D7"/>
    <w:rsid w:val="004C07CE"/>
    <w:rsid w:val="004C0857"/>
    <w:rsid w:val="004C08C0"/>
    <w:rsid w:val="004C09FA"/>
    <w:rsid w:val="004C0A53"/>
    <w:rsid w:val="004C0AA7"/>
    <w:rsid w:val="004C0AE2"/>
    <w:rsid w:val="004C0DAC"/>
    <w:rsid w:val="004C0F42"/>
    <w:rsid w:val="004C1258"/>
    <w:rsid w:val="004C138E"/>
    <w:rsid w:val="004C1891"/>
    <w:rsid w:val="004C1C9C"/>
    <w:rsid w:val="004C26C4"/>
    <w:rsid w:val="004C288D"/>
    <w:rsid w:val="004C2A05"/>
    <w:rsid w:val="004C3583"/>
    <w:rsid w:val="004C479A"/>
    <w:rsid w:val="004C47BC"/>
    <w:rsid w:val="004C4D82"/>
    <w:rsid w:val="004C52C3"/>
    <w:rsid w:val="004C5E2F"/>
    <w:rsid w:val="004C6D9D"/>
    <w:rsid w:val="004C7192"/>
    <w:rsid w:val="004C7360"/>
    <w:rsid w:val="004C7821"/>
    <w:rsid w:val="004C78D9"/>
    <w:rsid w:val="004C79F2"/>
    <w:rsid w:val="004C7FBB"/>
    <w:rsid w:val="004D01EF"/>
    <w:rsid w:val="004D0444"/>
    <w:rsid w:val="004D047F"/>
    <w:rsid w:val="004D093A"/>
    <w:rsid w:val="004D0A21"/>
    <w:rsid w:val="004D0DE4"/>
    <w:rsid w:val="004D1A57"/>
    <w:rsid w:val="004D1B51"/>
    <w:rsid w:val="004D1C10"/>
    <w:rsid w:val="004D1D75"/>
    <w:rsid w:val="004D1E5E"/>
    <w:rsid w:val="004D2C7E"/>
    <w:rsid w:val="004D2D29"/>
    <w:rsid w:val="004D3047"/>
    <w:rsid w:val="004D3722"/>
    <w:rsid w:val="004D455F"/>
    <w:rsid w:val="004D4795"/>
    <w:rsid w:val="004D4ECF"/>
    <w:rsid w:val="004D515A"/>
    <w:rsid w:val="004D51C5"/>
    <w:rsid w:val="004D5929"/>
    <w:rsid w:val="004D6A02"/>
    <w:rsid w:val="004D6A06"/>
    <w:rsid w:val="004D746E"/>
    <w:rsid w:val="004D7A5A"/>
    <w:rsid w:val="004D7C82"/>
    <w:rsid w:val="004D7F12"/>
    <w:rsid w:val="004D7FA7"/>
    <w:rsid w:val="004E000B"/>
    <w:rsid w:val="004E013C"/>
    <w:rsid w:val="004E0236"/>
    <w:rsid w:val="004E0FAB"/>
    <w:rsid w:val="004E0FCE"/>
    <w:rsid w:val="004E1178"/>
    <w:rsid w:val="004E19CA"/>
    <w:rsid w:val="004E1A0C"/>
    <w:rsid w:val="004E1A55"/>
    <w:rsid w:val="004E1C11"/>
    <w:rsid w:val="004E24CC"/>
    <w:rsid w:val="004E30C6"/>
    <w:rsid w:val="004E39B8"/>
    <w:rsid w:val="004E4814"/>
    <w:rsid w:val="004E4B97"/>
    <w:rsid w:val="004E5363"/>
    <w:rsid w:val="004E5667"/>
    <w:rsid w:val="004E58C2"/>
    <w:rsid w:val="004E5C93"/>
    <w:rsid w:val="004E6304"/>
    <w:rsid w:val="004E63D9"/>
    <w:rsid w:val="004E662E"/>
    <w:rsid w:val="004E674F"/>
    <w:rsid w:val="004E6DB4"/>
    <w:rsid w:val="004E7064"/>
    <w:rsid w:val="004E7A86"/>
    <w:rsid w:val="004F015F"/>
    <w:rsid w:val="004F02B9"/>
    <w:rsid w:val="004F07FD"/>
    <w:rsid w:val="004F0F6F"/>
    <w:rsid w:val="004F11A0"/>
    <w:rsid w:val="004F15B9"/>
    <w:rsid w:val="004F16E6"/>
    <w:rsid w:val="004F1F32"/>
    <w:rsid w:val="004F20BD"/>
    <w:rsid w:val="004F277C"/>
    <w:rsid w:val="004F2F7D"/>
    <w:rsid w:val="004F31CD"/>
    <w:rsid w:val="004F3351"/>
    <w:rsid w:val="004F3842"/>
    <w:rsid w:val="004F3893"/>
    <w:rsid w:val="004F39A1"/>
    <w:rsid w:val="004F3B56"/>
    <w:rsid w:val="004F3DA4"/>
    <w:rsid w:val="004F4182"/>
    <w:rsid w:val="004F46A5"/>
    <w:rsid w:val="004F54D1"/>
    <w:rsid w:val="004F560B"/>
    <w:rsid w:val="004F5B6A"/>
    <w:rsid w:val="004F5B9C"/>
    <w:rsid w:val="004F5DB8"/>
    <w:rsid w:val="004F613C"/>
    <w:rsid w:val="004F6E7E"/>
    <w:rsid w:val="004F73F1"/>
    <w:rsid w:val="00500141"/>
    <w:rsid w:val="00500410"/>
    <w:rsid w:val="005006D7"/>
    <w:rsid w:val="0050081B"/>
    <w:rsid w:val="00500EBA"/>
    <w:rsid w:val="00501737"/>
    <w:rsid w:val="00501A91"/>
    <w:rsid w:val="0050242F"/>
    <w:rsid w:val="005027C6"/>
    <w:rsid w:val="005028F1"/>
    <w:rsid w:val="0050349F"/>
    <w:rsid w:val="005034CC"/>
    <w:rsid w:val="00503657"/>
    <w:rsid w:val="00503944"/>
    <w:rsid w:val="00504322"/>
    <w:rsid w:val="00504846"/>
    <w:rsid w:val="00504963"/>
    <w:rsid w:val="00504A19"/>
    <w:rsid w:val="00504BE0"/>
    <w:rsid w:val="00505BE0"/>
    <w:rsid w:val="00505EAA"/>
    <w:rsid w:val="00506012"/>
    <w:rsid w:val="00506E70"/>
    <w:rsid w:val="00507287"/>
    <w:rsid w:val="005072CF"/>
    <w:rsid w:val="0050772A"/>
    <w:rsid w:val="005078B2"/>
    <w:rsid w:val="00507A0F"/>
    <w:rsid w:val="00507E4C"/>
    <w:rsid w:val="005101BD"/>
    <w:rsid w:val="005102FC"/>
    <w:rsid w:val="00510393"/>
    <w:rsid w:val="00510C1D"/>
    <w:rsid w:val="00510EC9"/>
    <w:rsid w:val="0051107B"/>
    <w:rsid w:val="0051125E"/>
    <w:rsid w:val="005113D1"/>
    <w:rsid w:val="00511905"/>
    <w:rsid w:val="00511CD4"/>
    <w:rsid w:val="005123E7"/>
    <w:rsid w:val="005128D7"/>
    <w:rsid w:val="00512B99"/>
    <w:rsid w:val="0051310C"/>
    <w:rsid w:val="00513394"/>
    <w:rsid w:val="00513E6C"/>
    <w:rsid w:val="005143FD"/>
    <w:rsid w:val="00514C3F"/>
    <w:rsid w:val="00514F28"/>
    <w:rsid w:val="005153A2"/>
    <w:rsid w:val="00515901"/>
    <w:rsid w:val="00516422"/>
    <w:rsid w:val="00516654"/>
    <w:rsid w:val="00516A91"/>
    <w:rsid w:val="00517029"/>
    <w:rsid w:val="00517113"/>
    <w:rsid w:val="0051714E"/>
    <w:rsid w:val="00517347"/>
    <w:rsid w:val="00517BF8"/>
    <w:rsid w:val="00520071"/>
    <w:rsid w:val="00520627"/>
    <w:rsid w:val="00520914"/>
    <w:rsid w:val="00520CBE"/>
    <w:rsid w:val="0052105A"/>
    <w:rsid w:val="005212FF"/>
    <w:rsid w:val="0052197D"/>
    <w:rsid w:val="00521CA0"/>
    <w:rsid w:val="005227CE"/>
    <w:rsid w:val="00522855"/>
    <w:rsid w:val="005228EB"/>
    <w:rsid w:val="0052294D"/>
    <w:rsid w:val="00522D20"/>
    <w:rsid w:val="0052312E"/>
    <w:rsid w:val="005233CF"/>
    <w:rsid w:val="00523845"/>
    <w:rsid w:val="00523925"/>
    <w:rsid w:val="00523A84"/>
    <w:rsid w:val="00523C4C"/>
    <w:rsid w:val="005241FB"/>
    <w:rsid w:val="005243A5"/>
    <w:rsid w:val="0052514C"/>
    <w:rsid w:val="00525353"/>
    <w:rsid w:val="005261CB"/>
    <w:rsid w:val="00526564"/>
    <w:rsid w:val="00526576"/>
    <w:rsid w:val="00526741"/>
    <w:rsid w:val="00526981"/>
    <w:rsid w:val="0052775A"/>
    <w:rsid w:val="005277CB"/>
    <w:rsid w:val="00527D86"/>
    <w:rsid w:val="0053042E"/>
    <w:rsid w:val="00530B47"/>
    <w:rsid w:val="00530DA6"/>
    <w:rsid w:val="00530FBE"/>
    <w:rsid w:val="0053132F"/>
    <w:rsid w:val="00531893"/>
    <w:rsid w:val="00531B64"/>
    <w:rsid w:val="00532432"/>
    <w:rsid w:val="0053267F"/>
    <w:rsid w:val="005334F9"/>
    <w:rsid w:val="005336B9"/>
    <w:rsid w:val="00533762"/>
    <w:rsid w:val="00533A1F"/>
    <w:rsid w:val="00533D77"/>
    <w:rsid w:val="00533E50"/>
    <w:rsid w:val="005340A3"/>
    <w:rsid w:val="00534187"/>
    <w:rsid w:val="00534605"/>
    <w:rsid w:val="0053467B"/>
    <w:rsid w:val="00534B17"/>
    <w:rsid w:val="00534BE8"/>
    <w:rsid w:val="0053565A"/>
    <w:rsid w:val="00535986"/>
    <w:rsid w:val="00535EB4"/>
    <w:rsid w:val="005367D2"/>
    <w:rsid w:val="005370B7"/>
    <w:rsid w:val="0053747E"/>
    <w:rsid w:val="00537ABA"/>
    <w:rsid w:val="00537C90"/>
    <w:rsid w:val="00537CD9"/>
    <w:rsid w:val="00537CF1"/>
    <w:rsid w:val="00537FEF"/>
    <w:rsid w:val="0053AF3E"/>
    <w:rsid w:val="005407BC"/>
    <w:rsid w:val="00541247"/>
    <w:rsid w:val="005412D6"/>
    <w:rsid w:val="00541788"/>
    <w:rsid w:val="005418BD"/>
    <w:rsid w:val="005422CA"/>
    <w:rsid w:val="00542F67"/>
    <w:rsid w:val="00543140"/>
    <w:rsid w:val="005431AC"/>
    <w:rsid w:val="005439A3"/>
    <w:rsid w:val="005439EE"/>
    <w:rsid w:val="005439F3"/>
    <w:rsid w:val="00543D09"/>
    <w:rsid w:val="00544D68"/>
    <w:rsid w:val="00545D50"/>
    <w:rsid w:val="005464FC"/>
    <w:rsid w:val="00546607"/>
    <w:rsid w:val="00546735"/>
    <w:rsid w:val="00547713"/>
    <w:rsid w:val="00547A56"/>
    <w:rsid w:val="00547DC6"/>
    <w:rsid w:val="005501CA"/>
    <w:rsid w:val="00550CC5"/>
    <w:rsid w:val="00550E45"/>
    <w:rsid w:val="00550EA0"/>
    <w:rsid w:val="00551AC9"/>
    <w:rsid w:val="00551C29"/>
    <w:rsid w:val="00551E41"/>
    <w:rsid w:val="00551E92"/>
    <w:rsid w:val="005520FB"/>
    <w:rsid w:val="0055239D"/>
    <w:rsid w:val="005523D4"/>
    <w:rsid w:val="00552B2F"/>
    <w:rsid w:val="0055304B"/>
    <w:rsid w:val="0055306A"/>
    <w:rsid w:val="00553281"/>
    <w:rsid w:val="005534C4"/>
    <w:rsid w:val="005538A4"/>
    <w:rsid w:val="00553E7B"/>
    <w:rsid w:val="00553F6B"/>
    <w:rsid w:val="00554067"/>
    <w:rsid w:val="0055458B"/>
    <w:rsid w:val="00555525"/>
    <w:rsid w:val="005559A7"/>
    <w:rsid w:val="005559C6"/>
    <w:rsid w:val="00555B7A"/>
    <w:rsid w:val="00555C6F"/>
    <w:rsid w:val="0055646C"/>
    <w:rsid w:val="005569C0"/>
    <w:rsid w:val="00556BF3"/>
    <w:rsid w:val="00556D78"/>
    <w:rsid w:val="00556EE7"/>
    <w:rsid w:val="005600B8"/>
    <w:rsid w:val="005608A6"/>
    <w:rsid w:val="00560FC1"/>
    <w:rsid w:val="0056104B"/>
    <w:rsid w:val="005612CA"/>
    <w:rsid w:val="00562057"/>
    <w:rsid w:val="00562133"/>
    <w:rsid w:val="00562B60"/>
    <w:rsid w:val="00562D14"/>
    <w:rsid w:val="0056304D"/>
    <w:rsid w:val="00563100"/>
    <w:rsid w:val="005631EB"/>
    <w:rsid w:val="00563668"/>
    <w:rsid w:val="005646EE"/>
    <w:rsid w:val="00564AEA"/>
    <w:rsid w:val="00565092"/>
    <w:rsid w:val="005655AF"/>
    <w:rsid w:val="005655B7"/>
    <w:rsid w:val="00565B38"/>
    <w:rsid w:val="005663CA"/>
    <w:rsid w:val="00566A07"/>
    <w:rsid w:val="00567129"/>
    <w:rsid w:val="00567204"/>
    <w:rsid w:val="00567211"/>
    <w:rsid w:val="00567710"/>
    <w:rsid w:val="00567793"/>
    <w:rsid w:val="00567CCE"/>
    <w:rsid w:val="00567ECC"/>
    <w:rsid w:val="00567F07"/>
    <w:rsid w:val="0057003A"/>
    <w:rsid w:val="00570712"/>
    <w:rsid w:val="00570A06"/>
    <w:rsid w:val="00570AAD"/>
    <w:rsid w:val="00570C93"/>
    <w:rsid w:val="00571AC0"/>
    <w:rsid w:val="00572265"/>
    <w:rsid w:val="00572DC5"/>
    <w:rsid w:val="005731FB"/>
    <w:rsid w:val="00573272"/>
    <w:rsid w:val="005734C3"/>
    <w:rsid w:val="00573508"/>
    <w:rsid w:val="005735B9"/>
    <w:rsid w:val="005756F5"/>
    <w:rsid w:val="0057570A"/>
    <w:rsid w:val="005757DE"/>
    <w:rsid w:val="00575CED"/>
    <w:rsid w:val="00576E70"/>
    <w:rsid w:val="0057762D"/>
    <w:rsid w:val="00577A21"/>
    <w:rsid w:val="005806AE"/>
    <w:rsid w:val="00580904"/>
    <w:rsid w:val="0058098A"/>
    <w:rsid w:val="00580D46"/>
    <w:rsid w:val="00581147"/>
    <w:rsid w:val="005813EE"/>
    <w:rsid w:val="00581801"/>
    <w:rsid w:val="00581DC5"/>
    <w:rsid w:val="00581EEB"/>
    <w:rsid w:val="0058201D"/>
    <w:rsid w:val="00582159"/>
    <w:rsid w:val="005823A7"/>
    <w:rsid w:val="00582407"/>
    <w:rsid w:val="00582A18"/>
    <w:rsid w:val="00582C14"/>
    <w:rsid w:val="00582F2E"/>
    <w:rsid w:val="00583147"/>
    <w:rsid w:val="00583160"/>
    <w:rsid w:val="00583512"/>
    <w:rsid w:val="00583D9F"/>
    <w:rsid w:val="00584BC3"/>
    <w:rsid w:val="00585301"/>
    <w:rsid w:val="00586503"/>
    <w:rsid w:val="00586930"/>
    <w:rsid w:val="0058777E"/>
    <w:rsid w:val="005879D2"/>
    <w:rsid w:val="00587AF3"/>
    <w:rsid w:val="00587DD2"/>
    <w:rsid w:val="00587E00"/>
    <w:rsid w:val="0059008D"/>
    <w:rsid w:val="005901AE"/>
    <w:rsid w:val="005904FB"/>
    <w:rsid w:val="005907F9"/>
    <w:rsid w:val="00590C95"/>
    <w:rsid w:val="0059181C"/>
    <w:rsid w:val="00591FB2"/>
    <w:rsid w:val="00592064"/>
    <w:rsid w:val="005920CC"/>
    <w:rsid w:val="00592118"/>
    <w:rsid w:val="0059227E"/>
    <w:rsid w:val="0059228F"/>
    <w:rsid w:val="00592708"/>
    <w:rsid w:val="00593862"/>
    <w:rsid w:val="005938BA"/>
    <w:rsid w:val="00593CFD"/>
    <w:rsid w:val="00593EB8"/>
    <w:rsid w:val="0059418F"/>
    <w:rsid w:val="00594340"/>
    <w:rsid w:val="0059451B"/>
    <w:rsid w:val="00594571"/>
    <w:rsid w:val="005946A6"/>
    <w:rsid w:val="005948CB"/>
    <w:rsid w:val="00595153"/>
    <w:rsid w:val="005955A7"/>
    <w:rsid w:val="0059575F"/>
    <w:rsid w:val="00595B45"/>
    <w:rsid w:val="00595BE5"/>
    <w:rsid w:val="00595BF1"/>
    <w:rsid w:val="00596874"/>
    <w:rsid w:val="005971CA"/>
    <w:rsid w:val="0059731B"/>
    <w:rsid w:val="0059758E"/>
    <w:rsid w:val="005979C8"/>
    <w:rsid w:val="00597B96"/>
    <w:rsid w:val="00597C03"/>
    <w:rsid w:val="00597C7B"/>
    <w:rsid w:val="00597DE6"/>
    <w:rsid w:val="00597F7F"/>
    <w:rsid w:val="005A0544"/>
    <w:rsid w:val="005A10FC"/>
    <w:rsid w:val="005A15F8"/>
    <w:rsid w:val="005A166A"/>
    <w:rsid w:val="005A188C"/>
    <w:rsid w:val="005A198C"/>
    <w:rsid w:val="005A1BBF"/>
    <w:rsid w:val="005A1BE3"/>
    <w:rsid w:val="005A2952"/>
    <w:rsid w:val="005A2A73"/>
    <w:rsid w:val="005A2E99"/>
    <w:rsid w:val="005A326D"/>
    <w:rsid w:val="005A3480"/>
    <w:rsid w:val="005A3584"/>
    <w:rsid w:val="005A3C29"/>
    <w:rsid w:val="005A413D"/>
    <w:rsid w:val="005A4192"/>
    <w:rsid w:val="005A4481"/>
    <w:rsid w:val="005A49D2"/>
    <w:rsid w:val="005A4E79"/>
    <w:rsid w:val="005A5394"/>
    <w:rsid w:val="005A53FB"/>
    <w:rsid w:val="005A57E9"/>
    <w:rsid w:val="005A585D"/>
    <w:rsid w:val="005A61D3"/>
    <w:rsid w:val="005A6515"/>
    <w:rsid w:val="005A65EF"/>
    <w:rsid w:val="005A6CB9"/>
    <w:rsid w:val="005A7318"/>
    <w:rsid w:val="005A781A"/>
    <w:rsid w:val="005A7A2C"/>
    <w:rsid w:val="005A7A33"/>
    <w:rsid w:val="005B05CF"/>
    <w:rsid w:val="005B0941"/>
    <w:rsid w:val="005B1339"/>
    <w:rsid w:val="005B22B5"/>
    <w:rsid w:val="005B2B22"/>
    <w:rsid w:val="005B2B55"/>
    <w:rsid w:val="005B346D"/>
    <w:rsid w:val="005B3530"/>
    <w:rsid w:val="005B362F"/>
    <w:rsid w:val="005B39BF"/>
    <w:rsid w:val="005B3C96"/>
    <w:rsid w:val="005B41EA"/>
    <w:rsid w:val="005B47A2"/>
    <w:rsid w:val="005B5489"/>
    <w:rsid w:val="005B5E93"/>
    <w:rsid w:val="005B5F9E"/>
    <w:rsid w:val="005B65DE"/>
    <w:rsid w:val="005B6955"/>
    <w:rsid w:val="005B702B"/>
    <w:rsid w:val="005B715B"/>
    <w:rsid w:val="005B7689"/>
    <w:rsid w:val="005B79E2"/>
    <w:rsid w:val="005B7CD6"/>
    <w:rsid w:val="005B7FAC"/>
    <w:rsid w:val="005C0173"/>
    <w:rsid w:val="005C05BC"/>
    <w:rsid w:val="005C0771"/>
    <w:rsid w:val="005C08CA"/>
    <w:rsid w:val="005C11BD"/>
    <w:rsid w:val="005C1C45"/>
    <w:rsid w:val="005C1CBC"/>
    <w:rsid w:val="005C1DB9"/>
    <w:rsid w:val="005C211E"/>
    <w:rsid w:val="005C21F9"/>
    <w:rsid w:val="005C2206"/>
    <w:rsid w:val="005C2788"/>
    <w:rsid w:val="005C2A81"/>
    <w:rsid w:val="005C3015"/>
    <w:rsid w:val="005C5058"/>
    <w:rsid w:val="005C557D"/>
    <w:rsid w:val="005C56C1"/>
    <w:rsid w:val="005C58EB"/>
    <w:rsid w:val="005C5A03"/>
    <w:rsid w:val="005C5D9B"/>
    <w:rsid w:val="005C5E0F"/>
    <w:rsid w:val="005C60C8"/>
    <w:rsid w:val="005C611D"/>
    <w:rsid w:val="005C6470"/>
    <w:rsid w:val="005C65D5"/>
    <w:rsid w:val="005C674D"/>
    <w:rsid w:val="005C6A9A"/>
    <w:rsid w:val="005C6E36"/>
    <w:rsid w:val="005C72B1"/>
    <w:rsid w:val="005C7C6F"/>
    <w:rsid w:val="005D02E5"/>
    <w:rsid w:val="005D02ED"/>
    <w:rsid w:val="005D066E"/>
    <w:rsid w:val="005D06DE"/>
    <w:rsid w:val="005D07EE"/>
    <w:rsid w:val="005D09B1"/>
    <w:rsid w:val="005D0A34"/>
    <w:rsid w:val="005D0DEF"/>
    <w:rsid w:val="005D102D"/>
    <w:rsid w:val="005D10B3"/>
    <w:rsid w:val="005D19AC"/>
    <w:rsid w:val="005D2012"/>
    <w:rsid w:val="005D2C53"/>
    <w:rsid w:val="005D2DD8"/>
    <w:rsid w:val="005D2EA6"/>
    <w:rsid w:val="005D329E"/>
    <w:rsid w:val="005D36C9"/>
    <w:rsid w:val="005D3B69"/>
    <w:rsid w:val="005D4061"/>
    <w:rsid w:val="005D410B"/>
    <w:rsid w:val="005D4301"/>
    <w:rsid w:val="005D4B4B"/>
    <w:rsid w:val="005D4BC6"/>
    <w:rsid w:val="005D5001"/>
    <w:rsid w:val="005D58BF"/>
    <w:rsid w:val="005D5FF5"/>
    <w:rsid w:val="005D63FD"/>
    <w:rsid w:val="005D6FF3"/>
    <w:rsid w:val="005D7301"/>
    <w:rsid w:val="005D754B"/>
    <w:rsid w:val="005D7BE2"/>
    <w:rsid w:val="005D7F03"/>
    <w:rsid w:val="005E0271"/>
    <w:rsid w:val="005E0E7B"/>
    <w:rsid w:val="005E15CA"/>
    <w:rsid w:val="005E168B"/>
    <w:rsid w:val="005E1B09"/>
    <w:rsid w:val="005E2BA2"/>
    <w:rsid w:val="005E3298"/>
    <w:rsid w:val="005E3AEE"/>
    <w:rsid w:val="005E3F32"/>
    <w:rsid w:val="005E4090"/>
    <w:rsid w:val="005E4245"/>
    <w:rsid w:val="005E4255"/>
    <w:rsid w:val="005E4935"/>
    <w:rsid w:val="005E496C"/>
    <w:rsid w:val="005E4B79"/>
    <w:rsid w:val="005E4C74"/>
    <w:rsid w:val="005E530C"/>
    <w:rsid w:val="005E54D8"/>
    <w:rsid w:val="005E5699"/>
    <w:rsid w:val="005E57EE"/>
    <w:rsid w:val="005E60E9"/>
    <w:rsid w:val="005E651F"/>
    <w:rsid w:val="005E6742"/>
    <w:rsid w:val="005E6FDE"/>
    <w:rsid w:val="005E7102"/>
    <w:rsid w:val="005F05F3"/>
    <w:rsid w:val="005F0903"/>
    <w:rsid w:val="005F0BF5"/>
    <w:rsid w:val="005F14F2"/>
    <w:rsid w:val="005F15AB"/>
    <w:rsid w:val="005F2995"/>
    <w:rsid w:val="005F2A21"/>
    <w:rsid w:val="005F2C93"/>
    <w:rsid w:val="005F2CA9"/>
    <w:rsid w:val="005F33AC"/>
    <w:rsid w:val="005F389E"/>
    <w:rsid w:val="005F3A6A"/>
    <w:rsid w:val="005F3ACE"/>
    <w:rsid w:val="005F3AF5"/>
    <w:rsid w:val="005F3C3C"/>
    <w:rsid w:val="005F3C60"/>
    <w:rsid w:val="005F3C93"/>
    <w:rsid w:val="005F3F37"/>
    <w:rsid w:val="005F3FB4"/>
    <w:rsid w:val="005F4004"/>
    <w:rsid w:val="005F53BB"/>
    <w:rsid w:val="005F582E"/>
    <w:rsid w:val="005F5877"/>
    <w:rsid w:val="005F59B2"/>
    <w:rsid w:val="005F5C95"/>
    <w:rsid w:val="005F6232"/>
    <w:rsid w:val="005F6E45"/>
    <w:rsid w:val="005F74FF"/>
    <w:rsid w:val="005F7516"/>
    <w:rsid w:val="005F78A0"/>
    <w:rsid w:val="005F7CDA"/>
    <w:rsid w:val="005F7D66"/>
    <w:rsid w:val="006003E3"/>
    <w:rsid w:val="006006BB"/>
    <w:rsid w:val="006008C0"/>
    <w:rsid w:val="00600A38"/>
    <w:rsid w:val="00600F62"/>
    <w:rsid w:val="00601056"/>
    <w:rsid w:val="006010A7"/>
    <w:rsid w:val="00601129"/>
    <w:rsid w:val="00601515"/>
    <w:rsid w:val="00601571"/>
    <w:rsid w:val="006017B0"/>
    <w:rsid w:val="00601898"/>
    <w:rsid w:val="00601AEF"/>
    <w:rsid w:val="00601CD7"/>
    <w:rsid w:val="00602180"/>
    <w:rsid w:val="006021D1"/>
    <w:rsid w:val="00602234"/>
    <w:rsid w:val="0060283E"/>
    <w:rsid w:val="00602B1F"/>
    <w:rsid w:val="00602CB5"/>
    <w:rsid w:val="00602F82"/>
    <w:rsid w:val="0060334B"/>
    <w:rsid w:val="00603607"/>
    <w:rsid w:val="00603A54"/>
    <w:rsid w:val="00603CCF"/>
    <w:rsid w:val="00603D44"/>
    <w:rsid w:val="0060479B"/>
    <w:rsid w:val="00605489"/>
    <w:rsid w:val="0060588B"/>
    <w:rsid w:val="006060BA"/>
    <w:rsid w:val="006069D5"/>
    <w:rsid w:val="00606AE6"/>
    <w:rsid w:val="0060744F"/>
    <w:rsid w:val="00607E30"/>
    <w:rsid w:val="006106F5"/>
    <w:rsid w:val="00611535"/>
    <w:rsid w:val="00612E08"/>
    <w:rsid w:val="006139EB"/>
    <w:rsid w:val="00613AB7"/>
    <w:rsid w:val="00613D03"/>
    <w:rsid w:val="00614B42"/>
    <w:rsid w:val="00614B4D"/>
    <w:rsid w:val="00614D4F"/>
    <w:rsid w:val="0061517D"/>
    <w:rsid w:val="0061574A"/>
    <w:rsid w:val="00615794"/>
    <w:rsid w:val="006161F4"/>
    <w:rsid w:val="006163E7"/>
    <w:rsid w:val="0061676E"/>
    <w:rsid w:val="00616A74"/>
    <w:rsid w:val="006171D5"/>
    <w:rsid w:val="00617775"/>
    <w:rsid w:val="006178AC"/>
    <w:rsid w:val="0062049F"/>
    <w:rsid w:val="00620595"/>
    <w:rsid w:val="006209C9"/>
    <w:rsid w:val="00620C87"/>
    <w:rsid w:val="00620FB9"/>
    <w:rsid w:val="0062118D"/>
    <w:rsid w:val="00621882"/>
    <w:rsid w:val="00621987"/>
    <w:rsid w:val="006220E5"/>
    <w:rsid w:val="006220E8"/>
    <w:rsid w:val="0062218F"/>
    <w:rsid w:val="006223A7"/>
    <w:rsid w:val="006224BB"/>
    <w:rsid w:val="00622FC7"/>
    <w:rsid w:val="006231A1"/>
    <w:rsid w:val="006231D6"/>
    <w:rsid w:val="00623404"/>
    <w:rsid w:val="006238DE"/>
    <w:rsid w:val="00623AA8"/>
    <w:rsid w:val="00623DFE"/>
    <w:rsid w:val="00624A41"/>
    <w:rsid w:val="00624BEF"/>
    <w:rsid w:val="00625469"/>
    <w:rsid w:val="0062612C"/>
    <w:rsid w:val="00626B85"/>
    <w:rsid w:val="00627644"/>
    <w:rsid w:val="00627894"/>
    <w:rsid w:val="00627E8F"/>
    <w:rsid w:val="006302A5"/>
    <w:rsid w:val="006304FC"/>
    <w:rsid w:val="00630DBB"/>
    <w:rsid w:val="00631578"/>
    <w:rsid w:val="006320F9"/>
    <w:rsid w:val="006328F4"/>
    <w:rsid w:val="00632CEB"/>
    <w:rsid w:val="006336C0"/>
    <w:rsid w:val="006338B7"/>
    <w:rsid w:val="00633B35"/>
    <w:rsid w:val="00633F1B"/>
    <w:rsid w:val="00633F43"/>
    <w:rsid w:val="00633F46"/>
    <w:rsid w:val="00633FB7"/>
    <w:rsid w:val="00634219"/>
    <w:rsid w:val="0063439B"/>
    <w:rsid w:val="006345DA"/>
    <w:rsid w:val="00634F5E"/>
    <w:rsid w:val="0063583C"/>
    <w:rsid w:val="00635E91"/>
    <w:rsid w:val="00635FFB"/>
    <w:rsid w:val="00636F13"/>
    <w:rsid w:val="006371C8"/>
    <w:rsid w:val="00637338"/>
    <w:rsid w:val="006374EA"/>
    <w:rsid w:val="00637565"/>
    <w:rsid w:val="00637919"/>
    <w:rsid w:val="00637AB8"/>
    <w:rsid w:val="00637CB5"/>
    <w:rsid w:val="00637EAE"/>
    <w:rsid w:val="00640321"/>
    <w:rsid w:val="0064039A"/>
    <w:rsid w:val="00640565"/>
    <w:rsid w:val="00640899"/>
    <w:rsid w:val="0064103F"/>
    <w:rsid w:val="006414E7"/>
    <w:rsid w:val="00641E2E"/>
    <w:rsid w:val="00641EDB"/>
    <w:rsid w:val="00642507"/>
    <w:rsid w:val="00642881"/>
    <w:rsid w:val="00642B92"/>
    <w:rsid w:val="0064330C"/>
    <w:rsid w:val="006433BC"/>
    <w:rsid w:val="00643801"/>
    <w:rsid w:val="00643D50"/>
    <w:rsid w:val="00643E7F"/>
    <w:rsid w:val="00643FCA"/>
    <w:rsid w:val="00644AFD"/>
    <w:rsid w:val="00644CAE"/>
    <w:rsid w:val="00645334"/>
    <w:rsid w:val="006457BF"/>
    <w:rsid w:val="00645F4A"/>
    <w:rsid w:val="0064632C"/>
    <w:rsid w:val="00646694"/>
    <w:rsid w:val="00646AB9"/>
    <w:rsid w:val="00646D9E"/>
    <w:rsid w:val="00646F73"/>
    <w:rsid w:val="00646F89"/>
    <w:rsid w:val="00647C79"/>
    <w:rsid w:val="00647D40"/>
    <w:rsid w:val="0065001E"/>
    <w:rsid w:val="0065088A"/>
    <w:rsid w:val="00650F83"/>
    <w:rsid w:val="00651836"/>
    <w:rsid w:val="0065183B"/>
    <w:rsid w:val="00651FC7"/>
    <w:rsid w:val="0065280F"/>
    <w:rsid w:val="00652AA8"/>
    <w:rsid w:val="00653060"/>
    <w:rsid w:val="0065331E"/>
    <w:rsid w:val="006534F9"/>
    <w:rsid w:val="00653855"/>
    <w:rsid w:val="00653A9E"/>
    <w:rsid w:val="00653DEB"/>
    <w:rsid w:val="0065427B"/>
    <w:rsid w:val="006546B5"/>
    <w:rsid w:val="0065491C"/>
    <w:rsid w:val="00654E47"/>
    <w:rsid w:val="006556A5"/>
    <w:rsid w:val="006557C2"/>
    <w:rsid w:val="00655ACD"/>
    <w:rsid w:val="006562DA"/>
    <w:rsid w:val="00656333"/>
    <w:rsid w:val="0065671A"/>
    <w:rsid w:val="006567D8"/>
    <w:rsid w:val="006568D6"/>
    <w:rsid w:val="0065717B"/>
    <w:rsid w:val="0065745D"/>
    <w:rsid w:val="00657C50"/>
    <w:rsid w:val="00658C04"/>
    <w:rsid w:val="00662758"/>
    <w:rsid w:val="00662880"/>
    <w:rsid w:val="00662F6E"/>
    <w:rsid w:val="0066349F"/>
    <w:rsid w:val="0066381A"/>
    <w:rsid w:val="00663A91"/>
    <w:rsid w:val="00664049"/>
    <w:rsid w:val="006641F9"/>
    <w:rsid w:val="00664648"/>
    <w:rsid w:val="0066469E"/>
    <w:rsid w:val="006646B4"/>
    <w:rsid w:val="0066495A"/>
    <w:rsid w:val="00664D9E"/>
    <w:rsid w:val="00665304"/>
    <w:rsid w:val="00665375"/>
    <w:rsid w:val="00665474"/>
    <w:rsid w:val="006665D5"/>
    <w:rsid w:val="0066697E"/>
    <w:rsid w:val="00666CC6"/>
    <w:rsid w:val="00667F1A"/>
    <w:rsid w:val="00667F25"/>
    <w:rsid w:val="00670D00"/>
    <w:rsid w:val="00670D01"/>
    <w:rsid w:val="00670E04"/>
    <w:rsid w:val="006715E4"/>
    <w:rsid w:val="00671D84"/>
    <w:rsid w:val="006721C9"/>
    <w:rsid w:val="00672354"/>
    <w:rsid w:val="0067256C"/>
    <w:rsid w:val="00672646"/>
    <w:rsid w:val="00672B60"/>
    <w:rsid w:val="00672C31"/>
    <w:rsid w:val="00673059"/>
    <w:rsid w:val="0067308C"/>
    <w:rsid w:val="00673090"/>
    <w:rsid w:val="006734E6"/>
    <w:rsid w:val="006734EF"/>
    <w:rsid w:val="00673530"/>
    <w:rsid w:val="006736BB"/>
    <w:rsid w:val="00673749"/>
    <w:rsid w:val="00674BAF"/>
    <w:rsid w:val="0067520F"/>
    <w:rsid w:val="0067526B"/>
    <w:rsid w:val="00675651"/>
    <w:rsid w:val="00675771"/>
    <w:rsid w:val="00675ACC"/>
    <w:rsid w:val="00675CB5"/>
    <w:rsid w:val="00676247"/>
    <w:rsid w:val="006763F3"/>
    <w:rsid w:val="006769F9"/>
    <w:rsid w:val="00676DA4"/>
    <w:rsid w:val="006774D6"/>
    <w:rsid w:val="006776BB"/>
    <w:rsid w:val="00677E85"/>
    <w:rsid w:val="006801EA"/>
    <w:rsid w:val="00680368"/>
    <w:rsid w:val="00680396"/>
    <w:rsid w:val="00680496"/>
    <w:rsid w:val="0068049D"/>
    <w:rsid w:val="0068095F"/>
    <w:rsid w:val="006809FB"/>
    <w:rsid w:val="00680E74"/>
    <w:rsid w:val="00681AAB"/>
    <w:rsid w:val="00681B1A"/>
    <w:rsid w:val="00681D3F"/>
    <w:rsid w:val="006827F4"/>
    <w:rsid w:val="00682AA9"/>
    <w:rsid w:val="00683034"/>
    <w:rsid w:val="006833F7"/>
    <w:rsid w:val="006837C4"/>
    <w:rsid w:val="00684C9F"/>
    <w:rsid w:val="00684D1D"/>
    <w:rsid w:val="00684E02"/>
    <w:rsid w:val="0068607D"/>
    <w:rsid w:val="00686271"/>
    <w:rsid w:val="0068631E"/>
    <w:rsid w:val="006865BB"/>
    <w:rsid w:val="00686851"/>
    <w:rsid w:val="00686B38"/>
    <w:rsid w:val="00686E1D"/>
    <w:rsid w:val="00687451"/>
    <w:rsid w:val="00687B10"/>
    <w:rsid w:val="00687D3B"/>
    <w:rsid w:val="00690668"/>
    <w:rsid w:val="0069102C"/>
    <w:rsid w:val="00692486"/>
    <w:rsid w:val="00692670"/>
    <w:rsid w:val="006929BC"/>
    <w:rsid w:val="006931AF"/>
    <w:rsid w:val="006932D4"/>
    <w:rsid w:val="00694162"/>
    <w:rsid w:val="006947D6"/>
    <w:rsid w:val="006952E0"/>
    <w:rsid w:val="0069542B"/>
    <w:rsid w:val="0069562D"/>
    <w:rsid w:val="00695731"/>
    <w:rsid w:val="00695BEB"/>
    <w:rsid w:val="006967D2"/>
    <w:rsid w:val="00696C33"/>
    <w:rsid w:val="0069758B"/>
    <w:rsid w:val="006A04D7"/>
    <w:rsid w:val="006A0682"/>
    <w:rsid w:val="006A06E0"/>
    <w:rsid w:val="006A1565"/>
    <w:rsid w:val="006A22AD"/>
    <w:rsid w:val="006A28CE"/>
    <w:rsid w:val="006A28E8"/>
    <w:rsid w:val="006A29D9"/>
    <w:rsid w:val="006A2D4B"/>
    <w:rsid w:val="006A3045"/>
    <w:rsid w:val="006A3211"/>
    <w:rsid w:val="006A3320"/>
    <w:rsid w:val="006A41DA"/>
    <w:rsid w:val="006A44E6"/>
    <w:rsid w:val="006A45E5"/>
    <w:rsid w:val="006A4867"/>
    <w:rsid w:val="006A4A8D"/>
    <w:rsid w:val="006A4FE6"/>
    <w:rsid w:val="006A54F9"/>
    <w:rsid w:val="006A5A42"/>
    <w:rsid w:val="006A6B26"/>
    <w:rsid w:val="006A6C6A"/>
    <w:rsid w:val="006A7042"/>
    <w:rsid w:val="006A7B3D"/>
    <w:rsid w:val="006B02FB"/>
    <w:rsid w:val="006B04EE"/>
    <w:rsid w:val="006B1613"/>
    <w:rsid w:val="006B178F"/>
    <w:rsid w:val="006B18A3"/>
    <w:rsid w:val="006B1BD8"/>
    <w:rsid w:val="006B1D81"/>
    <w:rsid w:val="006B2116"/>
    <w:rsid w:val="006B2256"/>
    <w:rsid w:val="006B29F7"/>
    <w:rsid w:val="006B2FAB"/>
    <w:rsid w:val="006B33BF"/>
    <w:rsid w:val="006B3DC4"/>
    <w:rsid w:val="006B43FB"/>
    <w:rsid w:val="006B4B13"/>
    <w:rsid w:val="006B4CF6"/>
    <w:rsid w:val="006B5103"/>
    <w:rsid w:val="006B545E"/>
    <w:rsid w:val="006B548C"/>
    <w:rsid w:val="006B5D02"/>
    <w:rsid w:val="006B60DE"/>
    <w:rsid w:val="006B65E8"/>
    <w:rsid w:val="006B6664"/>
    <w:rsid w:val="006B6A01"/>
    <w:rsid w:val="006B6AA9"/>
    <w:rsid w:val="006B6BF4"/>
    <w:rsid w:val="006B7D0D"/>
    <w:rsid w:val="006C0928"/>
    <w:rsid w:val="006C1819"/>
    <w:rsid w:val="006C1959"/>
    <w:rsid w:val="006C2443"/>
    <w:rsid w:val="006C25AF"/>
    <w:rsid w:val="006C290D"/>
    <w:rsid w:val="006C2B75"/>
    <w:rsid w:val="006C347F"/>
    <w:rsid w:val="006C38FC"/>
    <w:rsid w:val="006C39D9"/>
    <w:rsid w:val="006C3EBB"/>
    <w:rsid w:val="006C402A"/>
    <w:rsid w:val="006C4109"/>
    <w:rsid w:val="006C4185"/>
    <w:rsid w:val="006C454F"/>
    <w:rsid w:val="006C4C35"/>
    <w:rsid w:val="006C561D"/>
    <w:rsid w:val="006C6268"/>
    <w:rsid w:val="006C68B2"/>
    <w:rsid w:val="006C6EF5"/>
    <w:rsid w:val="006C73FC"/>
    <w:rsid w:val="006C7414"/>
    <w:rsid w:val="006C757A"/>
    <w:rsid w:val="006C7CE9"/>
    <w:rsid w:val="006D0374"/>
    <w:rsid w:val="006D05BB"/>
    <w:rsid w:val="006D063B"/>
    <w:rsid w:val="006D1989"/>
    <w:rsid w:val="006D1EDC"/>
    <w:rsid w:val="006D2EFB"/>
    <w:rsid w:val="006D3087"/>
    <w:rsid w:val="006D39B2"/>
    <w:rsid w:val="006D3C8B"/>
    <w:rsid w:val="006D3D4F"/>
    <w:rsid w:val="006D3F6B"/>
    <w:rsid w:val="006D419F"/>
    <w:rsid w:val="006D42CD"/>
    <w:rsid w:val="006D45AA"/>
    <w:rsid w:val="006D47F6"/>
    <w:rsid w:val="006D4CF8"/>
    <w:rsid w:val="006D4F1A"/>
    <w:rsid w:val="006D52E2"/>
    <w:rsid w:val="006D569B"/>
    <w:rsid w:val="006D6087"/>
    <w:rsid w:val="006D65FA"/>
    <w:rsid w:val="006D6684"/>
    <w:rsid w:val="006D6996"/>
    <w:rsid w:val="006D6BBB"/>
    <w:rsid w:val="006D6D2E"/>
    <w:rsid w:val="006D6D5A"/>
    <w:rsid w:val="006D6E92"/>
    <w:rsid w:val="006D6F73"/>
    <w:rsid w:val="006D70B9"/>
    <w:rsid w:val="006D7D90"/>
    <w:rsid w:val="006D7F45"/>
    <w:rsid w:val="006E059A"/>
    <w:rsid w:val="006E07B0"/>
    <w:rsid w:val="006E09C8"/>
    <w:rsid w:val="006E18DB"/>
    <w:rsid w:val="006E1BBB"/>
    <w:rsid w:val="006E2586"/>
    <w:rsid w:val="006E289A"/>
    <w:rsid w:val="006E28AA"/>
    <w:rsid w:val="006E2AD2"/>
    <w:rsid w:val="006E3BDB"/>
    <w:rsid w:val="006E404A"/>
    <w:rsid w:val="006E410E"/>
    <w:rsid w:val="006E4645"/>
    <w:rsid w:val="006E4A85"/>
    <w:rsid w:val="006E62A1"/>
    <w:rsid w:val="006E6419"/>
    <w:rsid w:val="006E72F1"/>
    <w:rsid w:val="006E74B2"/>
    <w:rsid w:val="006F0188"/>
    <w:rsid w:val="006F05C8"/>
    <w:rsid w:val="006F0A29"/>
    <w:rsid w:val="006F0C2E"/>
    <w:rsid w:val="006F1314"/>
    <w:rsid w:val="006F167D"/>
    <w:rsid w:val="006F18D5"/>
    <w:rsid w:val="006F1CAE"/>
    <w:rsid w:val="006F1F83"/>
    <w:rsid w:val="006F21E8"/>
    <w:rsid w:val="006F2476"/>
    <w:rsid w:val="006F2628"/>
    <w:rsid w:val="006F26C6"/>
    <w:rsid w:val="006F42A9"/>
    <w:rsid w:val="006F4C46"/>
    <w:rsid w:val="006F4EEC"/>
    <w:rsid w:val="006F5060"/>
    <w:rsid w:val="006F50EA"/>
    <w:rsid w:val="006F535A"/>
    <w:rsid w:val="006F57A6"/>
    <w:rsid w:val="006F57BE"/>
    <w:rsid w:val="006F5A97"/>
    <w:rsid w:val="006F5FEF"/>
    <w:rsid w:val="006F6378"/>
    <w:rsid w:val="006F66BD"/>
    <w:rsid w:val="006F6C6D"/>
    <w:rsid w:val="006F78A9"/>
    <w:rsid w:val="006F7CDA"/>
    <w:rsid w:val="007002E9"/>
    <w:rsid w:val="0070035D"/>
    <w:rsid w:val="00700C09"/>
    <w:rsid w:val="00700F71"/>
    <w:rsid w:val="0070102C"/>
    <w:rsid w:val="00701181"/>
    <w:rsid w:val="00701569"/>
    <w:rsid w:val="007024CB"/>
    <w:rsid w:val="0070291B"/>
    <w:rsid w:val="007040A3"/>
    <w:rsid w:val="00704330"/>
    <w:rsid w:val="007044FC"/>
    <w:rsid w:val="00704596"/>
    <w:rsid w:val="0070486A"/>
    <w:rsid w:val="007049D7"/>
    <w:rsid w:val="00704D06"/>
    <w:rsid w:val="00704FBB"/>
    <w:rsid w:val="0070510B"/>
    <w:rsid w:val="007060CE"/>
    <w:rsid w:val="00706A1C"/>
    <w:rsid w:val="00706D48"/>
    <w:rsid w:val="0070751A"/>
    <w:rsid w:val="00707522"/>
    <w:rsid w:val="00707605"/>
    <w:rsid w:val="00707A08"/>
    <w:rsid w:val="0070A02D"/>
    <w:rsid w:val="00710175"/>
    <w:rsid w:val="00710923"/>
    <w:rsid w:val="00710AA0"/>
    <w:rsid w:val="00711203"/>
    <w:rsid w:val="00711DD9"/>
    <w:rsid w:val="00712800"/>
    <w:rsid w:val="00712DF8"/>
    <w:rsid w:val="00713675"/>
    <w:rsid w:val="007139CB"/>
    <w:rsid w:val="007139D1"/>
    <w:rsid w:val="00714164"/>
    <w:rsid w:val="00714CF3"/>
    <w:rsid w:val="00714EE3"/>
    <w:rsid w:val="007155D2"/>
    <w:rsid w:val="007159D2"/>
    <w:rsid w:val="007163E7"/>
    <w:rsid w:val="00716A2E"/>
    <w:rsid w:val="00716C5A"/>
    <w:rsid w:val="007172D9"/>
    <w:rsid w:val="00717ADE"/>
    <w:rsid w:val="00717B7A"/>
    <w:rsid w:val="0072037F"/>
    <w:rsid w:val="007204D7"/>
    <w:rsid w:val="00720877"/>
    <w:rsid w:val="0072105D"/>
    <w:rsid w:val="0072189A"/>
    <w:rsid w:val="0072200E"/>
    <w:rsid w:val="00722592"/>
    <w:rsid w:val="00722719"/>
    <w:rsid w:val="00722C22"/>
    <w:rsid w:val="00723678"/>
    <w:rsid w:val="007238C9"/>
    <w:rsid w:val="00723974"/>
    <w:rsid w:val="00723AA5"/>
    <w:rsid w:val="00723BC5"/>
    <w:rsid w:val="00724046"/>
    <w:rsid w:val="00724183"/>
    <w:rsid w:val="007241DA"/>
    <w:rsid w:val="0072477F"/>
    <w:rsid w:val="007248FF"/>
    <w:rsid w:val="00724A9E"/>
    <w:rsid w:val="0072505F"/>
    <w:rsid w:val="007255BB"/>
    <w:rsid w:val="007255F5"/>
    <w:rsid w:val="0072576C"/>
    <w:rsid w:val="00725B04"/>
    <w:rsid w:val="007261BD"/>
    <w:rsid w:val="007263A6"/>
    <w:rsid w:val="007267E7"/>
    <w:rsid w:val="00726CC9"/>
    <w:rsid w:val="00726DA5"/>
    <w:rsid w:val="00726E72"/>
    <w:rsid w:val="007277B7"/>
    <w:rsid w:val="007278C6"/>
    <w:rsid w:val="00727B18"/>
    <w:rsid w:val="00727BC0"/>
    <w:rsid w:val="0073088E"/>
    <w:rsid w:val="007310BA"/>
    <w:rsid w:val="007311D0"/>
    <w:rsid w:val="00731471"/>
    <w:rsid w:val="007314B5"/>
    <w:rsid w:val="007315F1"/>
    <w:rsid w:val="00731B1A"/>
    <w:rsid w:val="00731C9C"/>
    <w:rsid w:val="00731CC2"/>
    <w:rsid w:val="007322E0"/>
    <w:rsid w:val="007326FC"/>
    <w:rsid w:val="00732FF4"/>
    <w:rsid w:val="00733B12"/>
    <w:rsid w:val="00733F89"/>
    <w:rsid w:val="0073409B"/>
    <w:rsid w:val="00734102"/>
    <w:rsid w:val="00734389"/>
    <w:rsid w:val="0073493B"/>
    <w:rsid w:val="00734990"/>
    <w:rsid w:val="007350B6"/>
    <w:rsid w:val="00735270"/>
    <w:rsid w:val="0073553D"/>
    <w:rsid w:val="00735E0C"/>
    <w:rsid w:val="00736542"/>
    <w:rsid w:val="00736A02"/>
    <w:rsid w:val="00736F58"/>
    <w:rsid w:val="007371A4"/>
    <w:rsid w:val="0073725A"/>
    <w:rsid w:val="00737420"/>
    <w:rsid w:val="00737519"/>
    <w:rsid w:val="0073762D"/>
    <w:rsid w:val="007401BF"/>
    <w:rsid w:val="00740851"/>
    <w:rsid w:val="00740910"/>
    <w:rsid w:val="00740AD6"/>
    <w:rsid w:val="007414E2"/>
    <w:rsid w:val="0074186F"/>
    <w:rsid w:val="00741EC2"/>
    <w:rsid w:val="007421E6"/>
    <w:rsid w:val="007428D2"/>
    <w:rsid w:val="00742906"/>
    <w:rsid w:val="00742C1F"/>
    <w:rsid w:val="0074343D"/>
    <w:rsid w:val="0074360D"/>
    <w:rsid w:val="0074367C"/>
    <w:rsid w:val="00743893"/>
    <w:rsid w:val="007440C1"/>
    <w:rsid w:val="007444C0"/>
    <w:rsid w:val="0074497F"/>
    <w:rsid w:val="00745D5B"/>
    <w:rsid w:val="00745EFE"/>
    <w:rsid w:val="007460FC"/>
    <w:rsid w:val="0074646A"/>
    <w:rsid w:val="00746484"/>
    <w:rsid w:val="007466F5"/>
    <w:rsid w:val="00746D6C"/>
    <w:rsid w:val="00747C20"/>
    <w:rsid w:val="007504D9"/>
    <w:rsid w:val="00750AA0"/>
    <w:rsid w:val="0075162E"/>
    <w:rsid w:val="0075186A"/>
    <w:rsid w:val="007518D6"/>
    <w:rsid w:val="00752480"/>
    <w:rsid w:val="00752681"/>
    <w:rsid w:val="00752C5E"/>
    <w:rsid w:val="00752F2C"/>
    <w:rsid w:val="00752FA9"/>
    <w:rsid w:val="00754486"/>
    <w:rsid w:val="00754A17"/>
    <w:rsid w:val="00754B13"/>
    <w:rsid w:val="00754B40"/>
    <w:rsid w:val="00754CCA"/>
    <w:rsid w:val="00756257"/>
    <w:rsid w:val="00756488"/>
    <w:rsid w:val="00756CB6"/>
    <w:rsid w:val="00756D04"/>
    <w:rsid w:val="00757293"/>
    <w:rsid w:val="00757724"/>
    <w:rsid w:val="00757D2A"/>
    <w:rsid w:val="00757D40"/>
    <w:rsid w:val="00757E3E"/>
    <w:rsid w:val="0076085F"/>
    <w:rsid w:val="00760FA9"/>
    <w:rsid w:val="007610FC"/>
    <w:rsid w:val="007616C3"/>
    <w:rsid w:val="00761872"/>
    <w:rsid w:val="00761A1F"/>
    <w:rsid w:val="00761C7F"/>
    <w:rsid w:val="00761EF1"/>
    <w:rsid w:val="007620E6"/>
    <w:rsid w:val="0076273B"/>
    <w:rsid w:val="00762940"/>
    <w:rsid w:val="0076326E"/>
    <w:rsid w:val="007632B7"/>
    <w:rsid w:val="00763436"/>
    <w:rsid w:val="00764204"/>
    <w:rsid w:val="00764370"/>
    <w:rsid w:val="00764948"/>
    <w:rsid w:val="00765072"/>
    <w:rsid w:val="00765FE7"/>
    <w:rsid w:val="0076639F"/>
    <w:rsid w:val="007665E6"/>
    <w:rsid w:val="00767CBB"/>
    <w:rsid w:val="007704A0"/>
    <w:rsid w:val="007705E2"/>
    <w:rsid w:val="00770AB9"/>
    <w:rsid w:val="00770BB2"/>
    <w:rsid w:val="00770C16"/>
    <w:rsid w:val="00770CF0"/>
    <w:rsid w:val="0077116C"/>
    <w:rsid w:val="007714D0"/>
    <w:rsid w:val="007714F2"/>
    <w:rsid w:val="00771B17"/>
    <w:rsid w:val="007720E1"/>
    <w:rsid w:val="00772276"/>
    <w:rsid w:val="0077228C"/>
    <w:rsid w:val="00772384"/>
    <w:rsid w:val="00772A01"/>
    <w:rsid w:val="00772D1D"/>
    <w:rsid w:val="00772F0F"/>
    <w:rsid w:val="00772FBE"/>
    <w:rsid w:val="00773BBA"/>
    <w:rsid w:val="00774A50"/>
    <w:rsid w:val="007752CE"/>
    <w:rsid w:val="00775634"/>
    <w:rsid w:val="00775665"/>
    <w:rsid w:val="00775AB6"/>
    <w:rsid w:val="00775C76"/>
    <w:rsid w:val="00775EB7"/>
    <w:rsid w:val="00776878"/>
    <w:rsid w:val="00776A36"/>
    <w:rsid w:val="00776FF8"/>
    <w:rsid w:val="00777CC8"/>
    <w:rsid w:val="00777CF2"/>
    <w:rsid w:val="00780298"/>
    <w:rsid w:val="00781174"/>
    <w:rsid w:val="00781862"/>
    <w:rsid w:val="0078194A"/>
    <w:rsid w:val="0078293D"/>
    <w:rsid w:val="00782C40"/>
    <w:rsid w:val="00783380"/>
    <w:rsid w:val="0078350C"/>
    <w:rsid w:val="00783773"/>
    <w:rsid w:val="0078417B"/>
    <w:rsid w:val="00784728"/>
    <w:rsid w:val="00784966"/>
    <w:rsid w:val="007849F3"/>
    <w:rsid w:val="00784D8B"/>
    <w:rsid w:val="00784E32"/>
    <w:rsid w:val="007850C0"/>
    <w:rsid w:val="00785202"/>
    <w:rsid w:val="00787AE9"/>
    <w:rsid w:val="00787EEC"/>
    <w:rsid w:val="00787F44"/>
    <w:rsid w:val="00790087"/>
    <w:rsid w:val="00790AEE"/>
    <w:rsid w:val="00790E4D"/>
    <w:rsid w:val="00790F5E"/>
    <w:rsid w:val="0079152D"/>
    <w:rsid w:val="00791646"/>
    <w:rsid w:val="00792100"/>
    <w:rsid w:val="0079241C"/>
    <w:rsid w:val="0079257D"/>
    <w:rsid w:val="00792A7B"/>
    <w:rsid w:val="007932D1"/>
    <w:rsid w:val="00793701"/>
    <w:rsid w:val="00793D0B"/>
    <w:rsid w:val="00793FE4"/>
    <w:rsid w:val="007955FD"/>
    <w:rsid w:val="00795C11"/>
    <w:rsid w:val="00795C7F"/>
    <w:rsid w:val="00795D83"/>
    <w:rsid w:val="007961A3"/>
    <w:rsid w:val="00796DB4"/>
    <w:rsid w:val="00797178"/>
    <w:rsid w:val="00797210"/>
    <w:rsid w:val="0079783B"/>
    <w:rsid w:val="00797BC0"/>
    <w:rsid w:val="00797D77"/>
    <w:rsid w:val="0079C750"/>
    <w:rsid w:val="007A02CF"/>
    <w:rsid w:val="007A0B9E"/>
    <w:rsid w:val="007A0FCF"/>
    <w:rsid w:val="007A1784"/>
    <w:rsid w:val="007A18C0"/>
    <w:rsid w:val="007A1AAA"/>
    <w:rsid w:val="007A1BDE"/>
    <w:rsid w:val="007A1DE8"/>
    <w:rsid w:val="007A203A"/>
    <w:rsid w:val="007A26AA"/>
    <w:rsid w:val="007A275C"/>
    <w:rsid w:val="007A29E6"/>
    <w:rsid w:val="007A2C5C"/>
    <w:rsid w:val="007A32CB"/>
    <w:rsid w:val="007A384F"/>
    <w:rsid w:val="007A3B37"/>
    <w:rsid w:val="007A3D69"/>
    <w:rsid w:val="007A3F93"/>
    <w:rsid w:val="007A42F3"/>
    <w:rsid w:val="007A432D"/>
    <w:rsid w:val="007A4AA3"/>
    <w:rsid w:val="007A4FB7"/>
    <w:rsid w:val="007A5351"/>
    <w:rsid w:val="007A59AB"/>
    <w:rsid w:val="007A6AAF"/>
    <w:rsid w:val="007A6B43"/>
    <w:rsid w:val="007A7021"/>
    <w:rsid w:val="007A7044"/>
    <w:rsid w:val="007A7528"/>
    <w:rsid w:val="007A7D44"/>
    <w:rsid w:val="007B0493"/>
    <w:rsid w:val="007B04C8"/>
    <w:rsid w:val="007B0D43"/>
    <w:rsid w:val="007B142E"/>
    <w:rsid w:val="007B1529"/>
    <w:rsid w:val="007B1D2A"/>
    <w:rsid w:val="007B25C7"/>
    <w:rsid w:val="007B28BB"/>
    <w:rsid w:val="007B2BEF"/>
    <w:rsid w:val="007B2D91"/>
    <w:rsid w:val="007B2F93"/>
    <w:rsid w:val="007B32A3"/>
    <w:rsid w:val="007B33A6"/>
    <w:rsid w:val="007B3B40"/>
    <w:rsid w:val="007B3B95"/>
    <w:rsid w:val="007B3F5D"/>
    <w:rsid w:val="007B4842"/>
    <w:rsid w:val="007B4A0D"/>
    <w:rsid w:val="007B4AB0"/>
    <w:rsid w:val="007B4B22"/>
    <w:rsid w:val="007B5642"/>
    <w:rsid w:val="007B6AB3"/>
    <w:rsid w:val="007B7628"/>
    <w:rsid w:val="007B76EA"/>
    <w:rsid w:val="007B7A9D"/>
    <w:rsid w:val="007B7B47"/>
    <w:rsid w:val="007B7E9E"/>
    <w:rsid w:val="007B8EE3"/>
    <w:rsid w:val="007C0014"/>
    <w:rsid w:val="007C01D4"/>
    <w:rsid w:val="007C03E6"/>
    <w:rsid w:val="007C0447"/>
    <w:rsid w:val="007C093D"/>
    <w:rsid w:val="007C0BFD"/>
    <w:rsid w:val="007C1194"/>
    <w:rsid w:val="007C1321"/>
    <w:rsid w:val="007C1D05"/>
    <w:rsid w:val="007C20F4"/>
    <w:rsid w:val="007C2734"/>
    <w:rsid w:val="007C287E"/>
    <w:rsid w:val="007C2A2E"/>
    <w:rsid w:val="007C2E0D"/>
    <w:rsid w:val="007C2F20"/>
    <w:rsid w:val="007C30B4"/>
    <w:rsid w:val="007C30F5"/>
    <w:rsid w:val="007C34DA"/>
    <w:rsid w:val="007C3C0E"/>
    <w:rsid w:val="007C3C98"/>
    <w:rsid w:val="007C4058"/>
    <w:rsid w:val="007C41CA"/>
    <w:rsid w:val="007C51C6"/>
    <w:rsid w:val="007C5663"/>
    <w:rsid w:val="007C5C8C"/>
    <w:rsid w:val="007C79C3"/>
    <w:rsid w:val="007C7EBB"/>
    <w:rsid w:val="007D0000"/>
    <w:rsid w:val="007D01DE"/>
    <w:rsid w:val="007D0231"/>
    <w:rsid w:val="007D0315"/>
    <w:rsid w:val="007D07E8"/>
    <w:rsid w:val="007D0D4C"/>
    <w:rsid w:val="007D1278"/>
    <w:rsid w:val="007D12A6"/>
    <w:rsid w:val="007D1332"/>
    <w:rsid w:val="007D1AB4"/>
    <w:rsid w:val="007D20C6"/>
    <w:rsid w:val="007D21D8"/>
    <w:rsid w:val="007D21E1"/>
    <w:rsid w:val="007D2840"/>
    <w:rsid w:val="007D2CFD"/>
    <w:rsid w:val="007D2E65"/>
    <w:rsid w:val="007D356D"/>
    <w:rsid w:val="007D3C6B"/>
    <w:rsid w:val="007D44EA"/>
    <w:rsid w:val="007D4BCA"/>
    <w:rsid w:val="007D535F"/>
    <w:rsid w:val="007D5389"/>
    <w:rsid w:val="007D53AD"/>
    <w:rsid w:val="007D545D"/>
    <w:rsid w:val="007D551C"/>
    <w:rsid w:val="007D5831"/>
    <w:rsid w:val="007D59AE"/>
    <w:rsid w:val="007D670C"/>
    <w:rsid w:val="007D6722"/>
    <w:rsid w:val="007D67B9"/>
    <w:rsid w:val="007D680C"/>
    <w:rsid w:val="007D6981"/>
    <w:rsid w:val="007D6BC8"/>
    <w:rsid w:val="007D6DDE"/>
    <w:rsid w:val="007D73B9"/>
    <w:rsid w:val="007D748E"/>
    <w:rsid w:val="007D794F"/>
    <w:rsid w:val="007D79D0"/>
    <w:rsid w:val="007D7A19"/>
    <w:rsid w:val="007E053B"/>
    <w:rsid w:val="007E0B2C"/>
    <w:rsid w:val="007E0D2D"/>
    <w:rsid w:val="007E0FA0"/>
    <w:rsid w:val="007E1402"/>
    <w:rsid w:val="007E18CF"/>
    <w:rsid w:val="007E19BC"/>
    <w:rsid w:val="007E1BFA"/>
    <w:rsid w:val="007E1C02"/>
    <w:rsid w:val="007E1C1C"/>
    <w:rsid w:val="007E1F96"/>
    <w:rsid w:val="007E2106"/>
    <w:rsid w:val="007E2177"/>
    <w:rsid w:val="007E2569"/>
    <w:rsid w:val="007E34DD"/>
    <w:rsid w:val="007E3880"/>
    <w:rsid w:val="007E3B8E"/>
    <w:rsid w:val="007E3CFF"/>
    <w:rsid w:val="007E45B2"/>
    <w:rsid w:val="007E50B1"/>
    <w:rsid w:val="007E525E"/>
    <w:rsid w:val="007E548A"/>
    <w:rsid w:val="007E56CD"/>
    <w:rsid w:val="007E5886"/>
    <w:rsid w:val="007E58A3"/>
    <w:rsid w:val="007E67E0"/>
    <w:rsid w:val="007E6991"/>
    <w:rsid w:val="007E721A"/>
    <w:rsid w:val="007E726C"/>
    <w:rsid w:val="007E72A6"/>
    <w:rsid w:val="007E7D42"/>
    <w:rsid w:val="007E7FA6"/>
    <w:rsid w:val="007F0023"/>
    <w:rsid w:val="007F0583"/>
    <w:rsid w:val="007F0609"/>
    <w:rsid w:val="007F0758"/>
    <w:rsid w:val="007F0B8B"/>
    <w:rsid w:val="007F0BC2"/>
    <w:rsid w:val="007F190E"/>
    <w:rsid w:val="007F1C1F"/>
    <w:rsid w:val="007F25D4"/>
    <w:rsid w:val="007F2EC2"/>
    <w:rsid w:val="007F3758"/>
    <w:rsid w:val="007F41B1"/>
    <w:rsid w:val="007F4B1E"/>
    <w:rsid w:val="007F4E00"/>
    <w:rsid w:val="007F4E8C"/>
    <w:rsid w:val="007F501B"/>
    <w:rsid w:val="007F527B"/>
    <w:rsid w:val="007F5360"/>
    <w:rsid w:val="007F5BAC"/>
    <w:rsid w:val="007F656D"/>
    <w:rsid w:val="007F6618"/>
    <w:rsid w:val="007F6B54"/>
    <w:rsid w:val="007F749D"/>
    <w:rsid w:val="007F7552"/>
    <w:rsid w:val="007F7ADF"/>
    <w:rsid w:val="00800175"/>
    <w:rsid w:val="0080041D"/>
    <w:rsid w:val="00800810"/>
    <w:rsid w:val="008009B9"/>
    <w:rsid w:val="00800D2A"/>
    <w:rsid w:val="00801393"/>
    <w:rsid w:val="00801B08"/>
    <w:rsid w:val="00801FBA"/>
    <w:rsid w:val="0080222C"/>
    <w:rsid w:val="00802431"/>
    <w:rsid w:val="008025CA"/>
    <w:rsid w:val="0080273E"/>
    <w:rsid w:val="008029DB"/>
    <w:rsid w:val="00802AC7"/>
    <w:rsid w:val="00802E73"/>
    <w:rsid w:val="00802EFD"/>
    <w:rsid w:val="00803224"/>
    <w:rsid w:val="00803544"/>
    <w:rsid w:val="00803860"/>
    <w:rsid w:val="008039FC"/>
    <w:rsid w:val="00803B8B"/>
    <w:rsid w:val="00804627"/>
    <w:rsid w:val="00804695"/>
    <w:rsid w:val="00804897"/>
    <w:rsid w:val="00805024"/>
    <w:rsid w:val="008050B9"/>
    <w:rsid w:val="00805BF2"/>
    <w:rsid w:val="00805FFA"/>
    <w:rsid w:val="0080626D"/>
    <w:rsid w:val="00806642"/>
    <w:rsid w:val="00806A7F"/>
    <w:rsid w:val="00806C0F"/>
    <w:rsid w:val="00806E16"/>
    <w:rsid w:val="00806E8B"/>
    <w:rsid w:val="00806F5E"/>
    <w:rsid w:val="0080700F"/>
    <w:rsid w:val="0080732F"/>
    <w:rsid w:val="0080777C"/>
    <w:rsid w:val="00807F9F"/>
    <w:rsid w:val="00810391"/>
    <w:rsid w:val="00810667"/>
    <w:rsid w:val="008108A0"/>
    <w:rsid w:val="00810AED"/>
    <w:rsid w:val="00811562"/>
    <w:rsid w:val="0081191E"/>
    <w:rsid w:val="008119A8"/>
    <w:rsid w:val="00811C54"/>
    <w:rsid w:val="00811E2D"/>
    <w:rsid w:val="00812057"/>
    <w:rsid w:val="00812114"/>
    <w:rsid w:val="00812666"/>
    <w:rsid w:val="00812982"/>
    <w:rsid w:val="00813799"/>
    <w:rsid w:val="00813833"/>
    <w:rsid w:val="00813BE4"/>
    <w:rsid w:val="008141DB"/>
    <w:rsid w:val="008149C8"/>
    <w:rsid w:val="00814A6C"/>
    <w:rsid w:val="00814AEA"/>
    <w:rsid w:val="00814E81"/>
    <w:rsid w:val="008153F2"/>
    <w:rsid w:val="00815727"/>
    <w:rsid w:val="00815874"/>
    <w:rsid w:val="00815AB7"/>
    <w:rsid w:val="00816105"/>
    <w:rsid w:val="008163BD"/>
    <w:rsid w:val="008163F0"/>
    <w:rsid w:val="00816B88"/>
    <w:rsid w:val="0081718B"/>
    <w:rsid w:val="008172B6"/>
    <w:rsid w:val="0081760A"/>
    <w:rsid w:val="00817F6D"/>
    <w:rsid w:val="0082037D"/>
    <w:rsid w:val="00820749"/>
    <w:rsid w:val="0082076E"/>
    <w:rsid w:val="008209DF"/>
    <w:rsid w:val="00820B50"/>
    <w:rsid w:val="00820EF6"/>
    <w:rsid w:val="0082103F"/>
    <w:rsid w:val="0082178A"/>
    <w:rsid w:val="00821C10"/>
    <w:rsid w:val="0082286F"/>
    <w:rsid w:val="00822BE8"/>
    <w:rsid w:val="00823018"/>
    <w:rsid w:val="00823142"/>
    <w:rsid w:val="008239CA"/>
    <w:rsid w:val="00823B6F"/>
    <w:rsid w:val="008245F3"/>
    <w:rsid w:val="0082461A"/>
    <w:rsid w:val="008251BE"/>
    <w:rsid w:val="008254FD"/>
    <w:rsid w:val="00826B4B"/>
    <w:rsid w:val="0082749C"/>
    <w:rsid w:val="00827B84"/>
    <w:rsid w:val="00830665"/>
    <w:rsid w:val="00830AEE"/>
    <w:rsid w:val="00831118"/>
    <w:rsid w:val="00831753"/>
    <w:rsid w:val="008318B3"/>
    <w:rsid w:val="00831957"/>
    <w:rsid w:val="00831C0E"/>
    <w:rsid w:val="00831F9E"/>
    <w:rsid w:val="00832276"/>
    <w:rsid w:val="0083273F"/>
    <w:rsid w:val="00832B71"/>
    <w:rsid w:val="00832C31"/>
    <w:rsid w:val="00832D29"/>
    <w:rsid w:val="00833209"/>
    <w:rsid w:val="0083370A"/>
    <w:rsid w:val="00833C79"/>
    <w:rsid w:val="00833C9E"/>
    <w:rsid w:val="00833F35"/>
    <w:rsid w:val="008340FF"/>
    <w:rsid w:val="0083448D"/>
    <w:rsid w:val="00834AB5"/>
    <w:rsid w:val="00834C34"/>
    <w:rsid w:val="00834C81"/>
    <w:rsid w:val="00834E58"/>
    <w:rsid w:val="00835B64"/>
    <w:rsid w:val="00835D3D"/>
    <w:rsid w:val="00836704"/>
    <w:rsid w:val="00837122"/>
    <w:rsid w:val="00837740"/>
    <w:rsid w:val="0084074D"/>
    <w:rsid w:val="0084152F"/>
    <w:rsid w:val="0084168B"/>
    <w:rsid w:val="008419E7"/>
    <w:rsid w:val="00842555"/>
    <w:rsid w:val="008427B7"/>
    <w:rsid w:val="00842F09"/>
    <w:rsid w:val="008430F3"/>
    <w:rsid w:val="0084349F"/>
    <w:rsid w:val="00843783"/>
    <w:rsid w:val="00843A93"/>
    <w:rsid w:val="00844083"/>
    <w:rsid w:val="00844457"/>
    <w:rsid w:val="0084493A"/>
    <w:rsid w:val="00844A40"/>
    <w:rsid w:val="00844C07"/>
    <w:rsid w:val="00844C4D"/>
    <w:rsid w:val="00845798"/>
    <w:rsid w:val="0084580E"/>
    <w:rsid w:val="00845D05"/>
    <w:rsid w:val="00846157"/>
    <w:rsid w:val="0084681B"/>
    <w:rsid w:val="00847196"/>
    <w:rsid w:val="008477A0"/>
    <w:rsid w:val="008478F4"/>
    <w:rsid w:val="00847ADD"/>
    <w:rsid w:val="00847CF3"/>
    <w:rsid w:val="00850689"/>
    <w:rsid w:val="008514CC"/>
    <w:rsid w:val="00851939"/>
    <w:rsid w:val="00851BC9"/>
    <w:rsid w:val="00852272"/>
    <w:rsid w:val="00852644"/>
    <w:rsid w:val="0085282B"/>
    <w:rsid w:val="00852DA7"/>
    <w:rsid w:val="008532F5"/>
    <w:rsid w:val="00853E9B"/>
    <w:rsid w:val="00854066"/>
    <w:rsid w:val="0085422D"/>
    <w:rsid w:val="008542BF"/>
    <w:rsid w:val="0085435C"/>
    <w:rsid w:val="00854547"/>
    <w:rsid w:val="00854EDB"/>
    <w:rsid w:val="00855413"/>
    <w:rsid w:val="0085567C"/>
    <w:rsid w:val="00855C66"/>
    <w:rsid w:val="00855E49"/>
    <w:rsid w:val="00856138"/>
    <w:rsid w:val="008563C4"/>
    <w:rsid w:val="0085726B"/>
    <w:rsid w:val="00857B55"/>
    <w:rsid w:val="00860300"/>
    <w:rsid w:val="008606C8"/>
    <w:rsid w:val="008609DC"/>
    <w:rsid w:val="00861A9E"/>
    <w:rsid w:val="00861CC4"/>
    <w:rsid w:val="00862DDA"/>
    <w:rsid w:val="00863AE4"/>
    <w:rsid w:val="008640AE"/>
    <w:rsid w:val="008644B0"/>
    <w:rsid w:val="00865143"/>
    <w:rsid w:val="0086553A"/>
    <w:rsid w:val="0086559A"/>
    <w:rsid w:val="00865A2B"/>
    <w:rsid w:val="008663F4"/>
    <w:rsid w:val="0086646E"/>
    <w:rsid w:val="008664D6"/>
    <w:rsid w:val="0086698B"/>
    <w:rsid w:val="008675F1"/>
    <w:rsid w:val="008677A3"/>
    <w:rsid w:val="00867810"/>
    <w:rsid w:val="00867E73"/>
    <w:rsid w:val="008704BD"/>
    <w:rsid w:val="008706D9"/>
    <w:rsid w:val="0087246B"/>
    <w:rsid w:val="008728BB"/>
    <w:rsid w:val="00872BA2"/>
    <w:rsid w:val="00872BAB"/>
    <w:rsid w:val="00873759"/>
    <w:rsid w:val="00873A21"/>
    <w:rsid w:val="00873E6A"/>
    <w:rsid w:val="00874121"/>
    <w:rsid w:val="008744E0"/>
    <w:rsid w:val="00874905"/>
    <w:rsid w:val="0087500C"/>
    <w:rsid w:val="00875869"/>
    <w:rsid w:val="00875A39"/>
    <w:rsid w:val="00876700"/>
    <w:rsid w:val="00877046"/>
    <w:rsid w:val="00877079"/>
    <w:rsid w:val="00877134"/>
    <w:rsid w:val="00877923"/>
    <w:rsid w:val="008779C3"/>
    <w:rsid w:val="008803DA"/>
    <w:rsid w:val="0088043D"/>
    <w:rsid w:val="00880474"/>
    <w:rsid w:val="00880578"/>
    <w:rsid w:val="0088070C"/>
    <w:rsid w:val="00881217"/>
    <w:rsid w:val="0088155D"/>
    <w:rsid w:val="00881705"/>
    <w:rsid w:val="008822D4"/>
    <w:rsid w:val="00882555"/>
    <w:rsid w:val="0088285F"/>
    <w:rsid w:val="00882E86"/>
    <w:rsid w:val="008836F8"/>
    <w:rsid w:val="0088377C"/>
    <w:rsid w:val="00883817"/>
    <w:rsid w:val="00883BF2"/>
    <w:rsid w:val="00883FB7"/>
    <w:rsid w:val="008841D4"/>
    <w:rsid w:val="00884460"/>
    <w:rsid w:val="00884D92"/>
    <w:rsid w:val="00885085"/>
    <w:rsid w:val="00885EDB"/>
    <w:rsid w:val="0088627A"/>
    <w:rsid w:val="00887190"/>
    <w:rsid w:val="0088745E"/>
    <w:rsid w:val="008875CF"/>
    <w:rsid w:val="008876C8"/>
    <w:rsid w:val="008900FA"/>
    <w:rsid w:val="008907F7"/>
    <w:rsid w:val="008909C1"/>
    <w:rsid w:val="008909D6"/>
    <w:rsid w:val="00890C32"/>
    <w:rsid w:val="00890DB8"/>
    <w:rsid w:val="008910A2"/>
    <w:rsid w:val="00891CDE"/>
    <w:rsid w:val="00891DA7"/>
    <w:rsid w:val="0089233F"/>
    <w:rsid w:val="008923CC"/>
    <w:rsid w:val="00892FF0"/>
    <w:rsid w:val="00893324"/>
    <w:rsid w:val="0089336F"/>
    <w:rsid w:val="00893574"/>
    <w:rsid w:val="00893BCC"/>
    <w:rsid w:val="00893E53"/>
    <w:rsid w:val="00894051"/>
    <w:rsid w:val="00894442"/>
    <w:rsid w:val="00894492"/>
    <w:rsid w:val="008949EB"/>
    <w:rsid w:val="00894B8A"/>
    <w:rsid w:val="00894BF1"/>
    <w:rsid w:val="00894ED6"/>
    <w:rsid w:val="00895104"/>
    <w:rsid w:val="008957BA"/>
    <w:rsid w:val="00896361"/>
    <w:rsid w:val="008964F5"/>
    <w:rsid w:val="00896588"/>
    <w:rsid w:val="0089660D"/>
    <w:rsid w:val="00896B55"/>
    <w:rsid w:val="00896CB6"/>
    <w:rsid w:val="00897BFA"/>
    <w:rsid w:val="008A026F"/>
    <w:rsid w:val="008A0509"/>
    <w:rsid w:val="008A0D3B"/>
    <w:rsid w:val="008A17EE"/>
    <w:rsid w:val="008A1813"/>
    <w:rsid w:val="008A1825"/>
    <w:rsid w:val="008A1B42"/>
    <w:rsid w:val="008A1C5E"/>
    <w:rsid w:val="008A1E1E"/>
    <w:rsid w:val="008A2616"/>
    <w:rsid w:val="008A26A3"/>
    <w:rsid w:val="008A2CB5"/>
    <w:rsid w:val="008A2DD5"/>
    <w:rsid w:val="008A2F25"/>
    <w:rsid w:val="008A3045"/>
    <w:rsid w:val="008A3173"/>
    <w:rsid w:val="008A33CB"/>
    <w:rsid w:val="008A3888"/>
    <w:rsid w:val="008A3A85"/>
    <w:rsid w:val="008A3CB3"/>
    <w:rsid w:val="008A419E"/>
    <w:rsid w:val="008A4368"/>
    <w:rsid w:val="008A4537"/>
    <w:rsid w:val="008A4C85"/>
    <w:rsid w:val="008A4D4F"/>
    <w:rsid w:val="008A555E"/>
    <w:rsid w:val="008A5EC6"/>
    <w:rsid w:val="008A608C"/>
    <w:rsid w:val="008A70FF"/>
    <w:rsid w:val="008A74E4"/>
    <w:rsid w:val="008B01C2"/>
    <w:rsid w:val="008B0313"/>
    <w:rsid w:val="008B059E"/>
    <w:rsid w:val="008B0800"/>
    <w:rsid w:val="008B0A17"/>
    <w:rsid w:val="008B1301"/>
    <w:rsid w:val="008B2353"/>
    <w:rsid w:val="008B23A8"/>
    <w:rsid w:val="008B2FA1"/>
    <w:rsid w:val="008B3922"/>
    <w:rsid w:val="008B3D80"/>
    <w:rsid w:val="008B498F"/>
    <w:rsid w:val="008B4B07"/>
    <w:rsid w:val="008B4D8F"/>
    <w:rsid w:val="008B57BB"/>
    <w:rsid w:val="008B5CD0"/>
    <w:rsid w:val="008B631E"/>
    <w:rsid w:val="008B6954"/>
    <w:rsid w:val="008B725D"/>
    <w:rsid w:val="008B7ADC"/>
    <w:rsid w:val="008C0063"/>
    <w:rsid w:val="008C0640"/>
    <w:rsid w:val="008C0AFC"/>
    <w:rsid w:val="008C0CCB"/>
    <w:rsid w:val="008C162B"/>
    <w:rsid w:val="008C2089"/>
    <w:rsid w:val="008C2A6F"/>
    <w:rsid w:val="008C2AB5"/>
    <w:rsid w:val="008C3637"/>
    <w:rsid w:val="008C3966"/>
    <w:rsid w:val="008C3B46"/>
    <w:rsid w:val="008C3DEA"/>
    <w:rsid w:val="008C43E6"/>
    <w:rsid w:val="008C48D3"/>
    <w:rsid w:val="008C56BE"/>
    <w:rsid w:val="008C58C1"/>
    <w:rsid w:val="008C62A9"/>
    <w:rsid w:val="008C62C1"/>
    <w:rsid w:val="008C6AE0"/>
    <w:rsid w:val="008C7682"/>
    <w:rsid w:val="008C79A0"/>
    <w:rsid w:val="008D07D0"/>
    <w:rsid w:val="008D0B62"/>
    <w:rsid w:val="008D1B7E"/>
    <w:rsid w:val="008D231E"/>
    <w:rsid w:val="008D24DB"/>
    <w:rsid w:val="008D254A"/>
    <w:rsid w:val="008D25C0"/>
    <w:rsid w:val="008D26D7"/>
    <w:rsid w:val="008D2F1F"/>
    <w:rsid w:val="008D3225"/>
    <w:rsid w:val="008D3330"/>
    <w:rsid w:val="008D3BDF"/>
    <w:rsid w:val="008D3E15"/>
    <w:rsid w:val="008D46B9"/>
    <w:rsid w:val="008D4922"/>
    <w:rsid w:val="008D4F4C"/>
    <w:rsid w:val="008D52BC"/>
    <w:rsid w:val="008D58FF"/>
    <w:rsid w:val="008D6087"/>
    <w:rsid w:val="008D60BF"/>
    <w:rsid w:val="008D634F"/>
    <w:rsid w:val="008D6AB5"/>
    <w:rsid w:val="008D6CCA"/>
    <w:rsid w:val="008D6D68"/>
    <w:rsid w:val="008D6D89"/>
    <w:rsid w:val="008D6DD5"/>
    <w:rsid w:val="008E0092"/>
    <w:rsid w:val="008E0206"/>
    <w:rsid w:val="008E18CC"/>
    <w:rsid w:val="008E1EB9"/>
    <w:rsid w:val="008E268A"/>
    <w:rsid w:val="008E2808"/>
    <w:rsid w:val="008E28DC"/>
    <w:rsid w:val="008E2993"/>
    <w:rsid w:val="008E2A0A"/>
    <w:rsid w:val="008E2FDE"/>
    <w:rsid w:val="008E31E7"/>
    <w:rsid w:val="008E349E"/>
    <w:rsid w:val="008E398E"/>
    <w:rsid w:val="008E3D87"/>
    <w:rsid w:val="008E439F"/>
    <w:rsid w:val="008E55C7"/>
    <w:rsid w:val="008E5CE0"/>
    <w:rsid w:val="008E6156"/>
    <w:rsid w:val="008E61D1"/>
    <w:rsid w:val="008E66A7"/>
    <w:rsid w:val="008E6AF4"/>
    <w:rsid w:val="008E7C41"/>
    <w:rsid w:val="008F01CE"/>
    <w:rsid w:val="008F0D26"/>
    <w:rsid w:val="008F136C"/>
    <w:rsid w:val="008F1736"/>
    <w:rsid w:val="008F18E2"/>
    <w:rsid w:val="008F1B3C"/>
    <w:rsid w:val="008F206A"/>
    <w:rsid w:val="008F24B0"/>
    <w:rsid w:val="008F265D"/>
    <w:rsid w:val="008F29EF"/>
    <w:rsid w:val="008F2A19"/>
    <w:rsid w:val="008F371E"/>
    <w:rsid w:val="008F4F7B"/>
    <w:rsid w:val="008F4FC5"/>
    <w:rsid w:val="008F561B"/>
    <w:rsid w:val="008F5765"/>
    <w:rsid w:val="008F58BB"/>
    <w:rsid w:val="008F5D07"/>
    <w:rsid w:val="008F5D26"/>
    <w:rsid w:val="008F6A3F"/>
    <w:rsid w:val="008F6E1E"/>
    <w:rsid w:val="008F77E0"/>
    <w:rsid w:val="008F78BA"/>
    <w:rsid w:val="008F79E3"/>
    <w:rsid w:val="009004FF"/>
    <w:rsid w:val="00900891"/>
    <w:rsid w:val="00900BD5"/>
    <w:rsid w:val="00900CED"/>
    <w:rsid w:val="0090175E"/>
    <w:rsid w:val="00901C9C"/>
    <w:rsid w:val="00901DF6"/>
    <w:rsid w:val="00901E97"/>
    <w:rsid w:val="00902055"/>
    <w:rsid w:val="009023BD"/>
    <w:rsid w:val="00902E5A"/>
    <w:rsid w:val="0090392E"/>
    <w:rsid w:val="009039CE"/>
    <w:rsid w:val="00903E87"/>
    <w:rsid w:val="00904069"/>
    <w:rsid w:val="009040EA"/>
    <w:rsid w:val="009041F4"/>
    <w:rsid w:val="00904445"/>
    <w:rsid w:val="009045C5"/>
    <w:rsid w:val="009046B9"/>
    <w:rsid w:val="00905102"/>
    <w:rsid w:val="00905139"/>
    <w:rsid w:val="00905FB1"/>
    <w:rsid w:val="00906285"/>
    <w:rsid w:val="009062C9"/>
    <w:rsid w:val="009066D4"/>
    <w:rsid w:val="0090681D"/>
    <w:rsid w:val="009075BF"/>
    <w:rsid w:val="00907622"/>
    <w:rsid w:val="00907773"/>
    <w:rsid w:val="00907E80"/>
    <w:rsid w:val="00907ED1"/>
    <w:rsid w:val="009105B8"/>
    <w:rsid w:val="009106CA"/>
    <w:rsid w:val="009107F1"/>
    <w:rsid w:val="009108F3"/>
    <w:rsid w:val="00910E8D"/>
    <w:rsid w:val="009113C5"/>
    <w:rsid w:val="00911534"/>
    <w:rsid w:val="009115EA"/>
    <w:rsid w:val="009117E4"/>
    <w:rsid w:val="00911EB7"/>
    <w:rsid w:val="009121DB"/>
    <w:rsid w:val="00912AD1"/>
    <w:rsid w:val="00912AE2"/>
    <w:rsid w:val="00912BB6"/>
    <w:rsid w:val="00912D1F"/>
    <w:rsid w:val="00912EE2"/>
    <w:rsid w:val="0091324C"/>
    <w:rsid w:val="00913671"/>
    <w:rsid w:val="009136C2"/>
    <w:rsid w:val="009138D5"/>
    <w:rsid w:val="00914510"/>
    <w:rsid w:val="009147D3"/>
    <w:rsid w:val="00914969"/>
    <w:rsid w:val="00915369"/>
    <w:rsid w:val="00915A09"/>
    <w:rsid w:val="00915CED"/>
    <w:rsid w:val="0091640C"/>
    <w:rsid w:val="00916E2A"/>
    <w:rsid w:val="00916EF4"/>
    <w:rsid w:val="0091735D"/>
    <w:rsid w:val="009174A4"/>
    <w:rsid w:val="009179E8"/>
    <w:rsid w:val="009202F6"/>
    <w:rsid w:val="00920996"/>
    <w:rsid w:val="00920E4D"/>
    <w:rsid w:val="00921032"/>
    <w:rsid w:val="00921B4B"/>
    <w:rsid w:val="00921E29"/>
    <w:rsid w:val="00921FA4"/>
    <w:rsid w:val="00922780"/>
    <w:rsid w:val="00922AE4"/>
    <w:rsid w:val="00922B55"/>
    <w:rsid w:val="00923349"/>
    <w:rsid w:val="0092353B"/>
    <w:rsid w:val="0092394D"/>
    <w:rsid w:val="0092486C"/>
    <w:rsid w:val="00924B00"/>
    <w:rsid w:val="00924D7E"/>
    <w:rsid w:val="00924DA6"/>
    <w:rsid w:val="00924E96"/>
    <w:rsid w:val="00924FEE"/>
    <w:rsid w:val="0092576F"/>
    <w:rsid w:val="00925A80"/>
    <w:rsid w:val="00925B76"/>
    <w:rsid w:val="0092611B"/>
    <w:rsid w:val="00926963"/>
    <w:rsid w:val="00926CB3"/>
    <w:rsid w:val="0092700E"/>
    <w:rsid w:val="009272E1"/>
    <w:rsid w:val="00927576"/>
    <w:rsid w:val="00927629"/>
    <w:rsid w:val="009279A5"/>
    <w:rsid w:val="00927A21"/>
    <w:rsid w:val="00927AA6"/>
    <w:rsid w:val="00927D63"/>
    <w:rsid w:val="00927F5E"/>
    <w:rsid w:val="009306DA"/>
    <w:rsid w:val="00930B2B"/>
    <w:rsid w:val="00930E2A"/>
    <w:rsid w:val="00931046"/>
    <w:rsid w:val="009312E5"/>
    <w:rsid w:val="009314C7"/>
    <w:rsid w:val="0093183F"/>
    <w:rsid w:val="0093282C"/>
    <w:rsid w:val="009328FA"/>
    <w:rsid w:val="00932D6D"/>
    <w:rsid w:val="009331E6"/>
    <w:rsid w:val="00933D54"/>
    <w:rsid w:val="009349A0"/>
    <w:rsid w:val="009352C3"/>
    <w:rsid w:val="00935CDE"/>
    <w:rsid w:val="00935D8F"/>
    <w:rsid w:val="009363D0"/>
    <w:rsid w:val="009367CB"/>
    <w:rsid w:val="009370D4"/>
    <w:rsid w:val="009370D8"/>
    <w:rsid w:val="0093746E"/>
    <w:rsid w:val="0093761F"/>
    <w:rsid w:val="00937B6A"/>
    <w:rsid w:val="00937E73"/>
    <w:rsid w:val="00937F71"/>
    <w:rsid w:val="009408A6"/>
    <w:rsid w:val="00940B9B"/>
    <w:rsid w:val="00940EA8"/>
    <w:rsid w:val="009410B2"/>
    <w:rsid w:val="00941657"/>
    <w:rsid w:val="00942056"/>
    <w:rsid w:val="0094282D"/>
    <w:rsid w:val="009431D6"/>
    <w:rsid w:val="00943754"/>
    <w:rsid w:val="00943810"/>
    <w:rsid w:val="00943A83"/>
    <w:rsid w:val="00943C23"/>
    <w:rsid w:val="00943D01"/>
    <w:rsid w:val="00943D25"/>
    <w:rsid w:val="00943E6D"/>
    <w:rsid w:val="0094434F"/>
    <w:rsid w:val="00944565"/>
    <w:rsid w:val="00944657"/>
    <w:rsid w:val="00944E81"/>
    <w:rsid w:val="00944EF0"/>
    <w:rsid w:val="00944FEF"/>
    <w:rsid w:val="00945197"/>
    <w:rsid w:val="0094591A"/>
    <w:rsid w:val="00946A4B"/>
    <w:rsid w:val="009473A7"/>
    <w:rsid w:val="009474ED"/>
    <w:rsid w:val="009477F9"/>
    <w:rsid w:val="00947830"/>
    <w:rsid w:val="00947B28"/>
    <w:rsid w:val="0095004B"/>
    <w:rsid w:val="009505C7"/>
    <w:rsid w:val="00950BE2"/>
    <w:rsid w:val="00950F65"/>
    <w:rsid w:val="0095105D"/>
    <w:rsid w:val="00951419"/>
    <w:rsid w:val="00951B37"/>
    <w:rsid w:val="00951F84"/>
    <w:rsid w:val="009522AA"/>
    <w:rsid w:val="00952D2C"/>
    <w:rsid w:val="009533C4"/>
    <w:rsid w:val="00953734"/>
    <w:rsid w:val="009537F4"/>
    <w:rsid w:val="00953A8A"/>
    <w:rsid w:val="00953EC0"/>
    <w:rsid w:val="00953FDD"/>
    <w:rsid w:val="0095436C"/>
    <w:rsid w:val="00954F6A"/>
    <w:rsid w:val="00955090"/>
    <w:rsid w:val="009554E2"/>
    <w:rsid w:val="00955DFA"/>
    <w:rsid w:val="00956521"/>
    <w:rsid w:val="00956EB9"/>
    <w:rsid w:val="00956F2D"/>
    <w:rsid w:val="00957157"/>
    <w:rsid w:val="00957372"/>
    <w:rsid w:val="00957544"/>
    <w:rsid w:val="0095765D"/>
    <w:rsid w:val="00957879"/>
    <w:rsid w:val="00957C05"/>
    <w:rsid w:val="0096027D"/>
    <w:rsid w:val="00960485"/>
    <w:rsid w:val="009605DC"/>
    <w:rsid w:val="00960F77"/>
    <w:rsid w:val="00961632"/>
    <w:rsid w:val="00961769"/>
    <w:rsid w:val="00961B84"/>
    <w:rsid w:val="00962190"/>
    <w:rsid w:val="0096255D"/>
    <w:rsid w:val="00962A83"/>
    <w:rsid w:val="00963D62"/>
    <w:rsid w:val="009646AD"/>
    <w:rsid w:val="00964F89"/>
    <w:rsid w:val="00965050"/>
    <w:rsid w:val="0096507A"/>
    <w:rsid w:val="0096590F"/>
    <w:rsid w:val="00965DF7"/>
    <w:rsid w:val="00965F96"/>
    <w:rsid w:val="009662E1"/>
    <w:rsid w:val="009667DB"/>
    <w:rsid w:val="00966BB6"/>
    <w:rsid w:val="00966D16"/>
    <w:rsid w:val="00967143"/>
    <w:rsid w:val="00967460"/>
    <w:rsid w:val="0096758C"/>
    <w:rsid w:val="0097022F"/>
    <w:rsid w:val="009707E6"/>
    <w:rsid w:val="00970BF2"/>
    <w:rsid w:val="00970DCD"/>
    <w:rsid w:val="00972A4C"/>
    <w:rsid w:val="009736C0"/>
    <w:rsid w:val="009736F2"/>
    <w:rsid w:val="00973A09"/>
    <w:rsid w:val="00973B0F"/>
    <w:rsid w:val="00973E90"/>
    <w:rsid w:val="009744FB"/>
    <w:rsid w:val="00974A97"/>
    <w:rsid w:val="00975433"/>
    <w:rsid w:val="00975664"/>
    <w:rsid w:val="00975CEF"/>
    <w:rsid w:val="0097662D"/>
    <w:rsid w:val="009767EE"/>
    <w:rsid w:val="009769DC"/>
    <w:rsid w:val="00976B3B"/>
    <w:rsid w:val="00976D43"/>
    <w:rsid w:val="009776F4"/>
    <w:rsid w:val="00977A37"/>
    <w:rsid w:val="00981EA7"/>
    <w:rsid w:val="00982356"/>
    <w:rsid w:val="009829F6"/>
    <w:rsid w:val="00982CF9"/>
    <w:rsid w:val="00982E08"/>
    <w:rsid w:val="00982EDF"/>
    <w:rsid w:val="00983438"/>
    <w:rsid w:val="0098370B"/>
    <w:rsid w:val="00984176"/>
    <w:rsid w:val="00984B71"/>
    <w:rsid w:val="00984E85"/>
    <w:rsid w:val="00985025"/>
    <w:rsid w:val="00985A40"/>
    <w:rsid w:val="0098620A"/>
    <w:rsid w:val="0098663E"/>
    <w:rsid w:val="00987196"/>
    <w:rsid w:val="009871B6"/>
    <w:rsid w:val="0098C1B2"/>
    <w:rsid w:val="00990211"/>
    <w:rsid w:val="00990A55"/>
    <w:rsid w:val="00990B0C"/>
    <w:rsid w:val="00990B0D"/>
    <w:rsid w:val="00990FDD"/>
    <w:rsid w:val="009912B9"/>
    <w:rsid w:val="009915E3"/>
    <w:rsid w:val="00991B95"/>
    <w:rsid w:val="00991F3F"/>
    <w:rsid w:val="009925A7"/>
    <w:rsid w:val="00992883"/>
    <w:rsid w:val="009929C8"/>
    <w:rsid w:val="00992C38"/>
    <w:rsid w:val="00992C72"/>
    <w:rsid w:val="00992CE9"/>
    <w:rsid w:val="009931A9"/>
    <w:rsid w:val="00993799"/>
    <w:rsid w:val="00994723"/>
    <w:rsid w:val="00994A04"/>
    <w:rsid w:val="00995040"/>
    <w:rsid w:val="00995109"/>
    <w:rsid w:val="009951C9"/>
    <w:rsid w:val="00995B7A"/>
    <w:rsid w:val="00995FD5"/>
    <w:rsid w:val="0099606D"/>
    <w:rsid w:val="0099647A"/>
    <w:rsid w:val="009965D1"/>
    <w:rsid w:val="00996741"/>
    <w:rsid w:val="00996F71"/>
    <w:rsid w:val="0099719D"/>
    <w:rsid w:val="009979E2"/>
    <w:rsid w:val="00997A63"/>
    <w:rsid w:val="009A02E5"/>
    <w:rsid w:val="009A0FFA"/>
    <w:rsid w:val="009A1097"/>
    <w:rsid w:val="009A10CA"/>
    <w:rsid w:val="009A12A7"/>
    <w:rsid w:val="009A1C8E"/>
    <w:rsid w:val="009A1CA5"/>
    <w:rsid w:val="009A24B0"/>
    <w:rsid w:val="009A2787"/>
    <w:rsid w:val="009A2ECE"/>
    <w:rsid w:val="009A34C1"/>
    <w:rsid w:val="009A3827"/>
    <w:rsid w:val="009A38ED"/>
    <w:rsid w:val="009A3AFB"/>
    <w:rsid w:val="009A3D60"/>
    <w:rsid w:val="009A3E11"/>
    <w:rsid w:val="009A4003"/>
    <w:rsid w:val="009A4457"/>
    <w:rsid w:val="009A4BBD"/>
    <w:rsid w:val="009A5030"/>
    <w:rsid w:val="009A55ED"/>
    <w:rsid w:val="009A62EA"/>
    <w:rsid w:val="009A6531"/>
    <w:rsid w:val="009A65B2"/>
    <w:rsid w:val="009A6A2E"/>
    <w:rsid w:val="009A6B0F"/>
    <w:rsid w:val="009A6BE8"/>
    <w:rsid w:val="009A6E5B"/>
    <w:rsid w:val="009A6EDC"/>
    <w:rsid w:val="009A7459"/>
    <w:rsid w:val="009A7C37"/>
    <w:rsid w:val="009B0080"/>
    <w:rsid w:val="009B0567"/>
    <w:rsid w:val="009B0B8C"/>
    <w:rsid w:val="009B0C19"/>
    <w:rsid w:val="009B0E31"/>
    <w:rsid w:val="009B258A"/>
    <w:rsid w:val="009B2AD5"/>
    <w:rsid w:val="009B2E70"/>
    <w:rsid w:val="009B3B5D"/>
    <w:rsid w:val="009B3CDD"/>
    <w:rsid w:val="009B3EC5"/>
    <w:rsid w:val="009B3EE2"/>
    <w:rsid w:val="009B4421"/>
    <w:rsid w:val="009B444D"/>
    <w:rsid w:val="009B4BB2"/>
    <w:rsid w:val="009B4BD0"/>
    <w:rsid w:val="009B4D8D"/>
    <w:rsid w:val="009B56B1"/>
    <w:rsid w:val="009B5986"/>
    <w:rsid w:val="009B5A20"/>
    <w:rsid w:val="009B66E3"/>
    <w:rsid w:val="009B6A85"/>
    <w:rsid w:val="009B6FD6"/>
    <w:rsid w:val="009B74C2"/>
    <w:rsid w:val="009B7721"/>
    <w:rsid w:val="009B79BA"/>
    <w:rsid w:val="009B7AAE"/>
    <w:rsid w:val="009B7FAA"/>
    <w:rsid w:val="009C194C"/>
    <w:rsid w:val="009C1A63"/>
    <w:rsid w:val="009C1B77"/>
    <w:rsid w:val="009C235E"/>
    <w:rsid w:val="009C243E"/>
    <w:rsid w:val="009C2D55"/>
    <w:rsid w:val="009C3033"/>
    <w:rsid w:val="009C3617"/>
    <w:rsid w:val="009C38C3"/>
    <w:rsid w:val="009C3B54"/>
    <w:rsid w:val="009C422C"/>
    <w:rsid w:val="009C4854"/>
    <w:rsid w:val="009C60DB"/>
    <w:rsid w:val="009C6198"/>
    <w:rsid w:val="009C61CA"/>
    <w:rsid w:val="009C6939"/>
    <w:rsid w:val="009C6D85"/>
    <w:rsid w:val="009C6F2A"/>
    <w:rsid w:val="009C73DC"/>
    <w:rsid w:val="009C7EEB"/>
    <w:rsid w:val="009D0132"/>
    <w:rsid w:val="009D0235"/>
    <w:rsid w:val="009D0619"/>
    <w:rsid w:val="009D0935"/>
    <w:rsid w:val="009D274E"/>
    <w:rsid w:val="009D2973"/>
    <w:rsid w:val="009D2E9E"/>
    <w:rsid w:val="009D2ED2"/>
    <w:rsid w:val="009D366C"/>
    <w:rsid w:val="009D3B5A"/>
    <w:rsid w:val="009D3DC2"/>
    <w:rsid w:val="009D4132"/>
    <w:rsid w:val="009D4B73"/>
    <w:rsid w:val="009D618E"/>
    <w:rsid w:val="009D6616"/>
    <w:rsid w:val="009D66F5"/>
    <w:rsid w:val="009D6938"/>
    <w:rsid w:val="009D6A5F"/>
    <w:rsid w:val="009D7337"/>
    <w:rsid w:val="009D756F"/>
    <w:rsid w:val="009D7647"/>
    <w:rsid w:val="009E044A"/>
    <w:rsid w:val="009E07F8"/>
    <w:rsid w:val="009E09E4"/>
    <w:rsid w:val="009E0C30"/>
    <w:rsid w:val="009E0CA7"/>
    <w:rsid w:val="009E0E82"/>
    <w:rsid w:val="009E0F9B"/>
    <w:rsid w:val="009E122C"/>
    <w:rsid w:val="009E1310"/>
    <w:rsid w:val="009E15DC"/>
    <w:rsid w:val="009E193C"/>
    <w:rsid w:val="009E1C3C"/>
    <w:rsid w:val="009E1C52"/>
    <w:rsid w:val="009E22F1"/>
    <w:rsid w:val="009E23A4"/>
    <w:rsid w:val="009E29A3"/>
    <w:rsid w:val="009E3138"/>
    <w:rsid w:val="009E398A"/>
    <w:rsid w:val="009E3A21"/>
    <w:rsid w:val="009E3E65"/>
    <w:rsid w:val="009E41E0"/>
    <w:rsid w:val="009E433C"/>
    <w:rsid w:val="009E4621"/>
    <w:rsid w:val="009E4EC0"/>
    <w:rsid w:val="009E51EC"/>
    <w:rsid w:val="009E5489"/>
    <w:rsid w:val="009E5D18"/>
    <w:rsid w:val="009E5D88"/>
    <w:rsid w:val="009E5FB9"/>
    <w:rsid w:val="009E5FF5"/>
    <w:rsid w:val="009E6091"/>
    <w:rsid w:val="009E6258"/>
    <w:rsid w:val="009E6268"/>
    <w:rsid w:val="009E67EF"/>
    <w:rsid w:val="009E6D92"/>
    <w:rsid w:val="009E7177"/>
    <w:rsid w:val="009E73F2"/>
    <w:rsid w:val="009E764C"/>
    <w:rsid w:val="009E7E43"/>
    <w:rsid w:val="009E7E60"/>
    <w:rsid w:val="009E7EC4"/>
    <w:rsid w:val="009F0383"/>
    <w:rsid w:val="009F0AC9"/>
    <w:rsid w:val="009F0FF5"/>
    <w:rsid w:val="009F10C1"/>
    <w:rsid w:val="009F1498"/>
    <w:rsid w:val="009F149A"/>
    <w:rsid w:val="009F1589"/>
    <w:rsid w:val="009F1685"/>
    <w:rsid w:val="009F195B"/>
    <w:rsid w:val="009F222D"/>
    <w:rsid w:val="009F228B"/>
    <w:rsid w:val="009F2502"/>
    <w:rsid w:val="009F2A0B"/>
    <w:rsid w:val="009F2C40"/>
    <w:rsid w:val="009F2D20"/>
    <w:rsid w:val="009F3055"/>
    <w:rsid w:val="009F3A60"/>
    <w:rsid w:val="009F3D3D"/>
    <w:rsid w:val="009F3DD3"/>
    <w:rsid w:val="009F4348"/>
    <w:rsid w:val="009F4391"/>
    <w:rsid w:val="009F50F9"/>
    <w:rsid w:val="009F665F"/>
    <w:rsid w:val="009F6D9E"/>
    <w:rsid w:val="009F6F19"/>
    <w:rsid w:val="009F7172"/>
    <w:rsid w:val="009F72D1"/>
    <w:rsid w:val="009F751A"/>
    <w:rsid w:val="009F7F0D"/>
    <w:rsid w:val="009F7FBE"/>
    <w:rsid w:val="00A000FD"/>
    <w:rsid w:val="00A0067C"/>
    <w:rsid w:val="00A00BE9"/>
    <w:rsid w:val="00A00DB5"/>
    <w:rsid w:val="00A00FF0"/>
    <w:rsid w:val="00A016CF"/>
    <w:rsid w:val="00A016EF"/>
    <w:rsid w:val="00A01A1E"/>
    <w:rsid w:val="00A01A91"/>
    <w:rsid w:val="00A01E08"/>
    <w:rsid w:val="00A02588"/>
    <w:rsid w:val="00A025DB"/>
    <w:rsid w:val="00A02D58"/>
    <w:rsid w:val="00A0314C"/>
    <w:rsid w:val="00A0320E"/>
    <w:rsid w:val="00A03380"/>
    <w:rsid w:val="00A035FC"/>
    <w:rsid w:val="00A03AAD"/>
    <w:rsid w:val="00A03B3A"/>
    <w:rsid w:val="00A041EC"/>
    <w:rsid w:val="00A04516"/>
    <w:rsid w:val="00A04C38"/>
    <w:rsid w:val="00A052AA"/>
    <w:rsid w:val="00A06561"/>
    <w:rsid w:val="00A06746"/>
    <w:rsid w:val="00A067D9"/>
    <w:rsid w:val="00A06D00"/>
    <w:rsid w:val="00A06FB1"/>
    <w:rsid w:val="00A06FF7"/>
    <w:rsid w:val="00A0791B"/>
    <w:rsid w:val="00A10147"/>
    <w:rsid w:val="00A1032D"/>
    <w:rsid w:val="00A1081C"/>
    <w:rsid w:val="00A10A3C"/>
    <w:rsid w:val="00A10DE5"/>
    <w:rsid w:val="00A110EC"/>
    <w:rsid w:val="00A114CA"/>
    <w:rsid w:val="00A11961"/>
    <w:rsid w:val="00A11B49"/>
    <w:rsid w:val="00A134C7"/>
    <w:rsid w:val="00A137A3"/>
    <w:rsid w:val="00A13DC7"/>
    <w:rsid w:val="00A13F93"/>
    <w:rsid w:val="00A146A5"/>
    <w:rsid w:val="00A14E4C"/>
    <w:rsid w:val="00A15551"/>
    <w:rsid w:val="00A160AD"/>
    <w:rsid w:val="00A1664D"/>
    <w:rsid w:val="00A17013"/>
    <w:rsid w:val="00A176AE"/>
    <w:rsid w:val="00A17A6E"/>
    <w:rsid w:val="00A17B3D"/>
    <w:rsid w:val="00A17B71"/>
    <w:rsid w:val="00A17DAF"/>
    <w:rsid w:val="00A17EBA"/>
    <w:rsid w:val="00A20388"/>
    <w:rsid w:val="00A20A09"/>
    <w:rsid w:val="00A20EF0"/>
    <w:rsid w:val="00A21086"/>
    <w:rsid w:val="00A21FFE"/>
    <w:rsid w:val="00A22A47"/>
    <w:rsid w:val="00A22B60"/>
    <w:rsid w:val="00A232D6"/>
    <w:rsid w:val="00A23712"/>
    <w:rsid w:val="00A238F7"/>
    <w:rsid w:val="00A23922"/>
    <w:rsid w:val="00A23AEB"/>
    <w:rsid w:val="00A2443E"/>
    <w:rsid w:val="00A24440"/>
    <w:rsid w:val="00A249D3"/>
    <w:rsid w:val="00A24C26"/>
    <w:rsid w:val="00A24DA5"/>
    <w:rsid w:val="00A2502C"/>
    <w:rsid w:val="00A255DE"/>
    <w:rsid w:val="00A2569B"/>
    <w:rsid w:val="00A25AE1"/>
    <w:rsid w:val="00A25B39"/>
    <w:rsid w:val="00A25BA6"/>
    <w:rsid w:val="00A260C6"/>
    <w:rsid w:val="00A2654F"/>
    <w:rsid w:val="00A266E5"/>
    <w:rsid w:val="00A27518"/>
    <w:rsid w:val="00A27D69"/>
    <w:rsid w:val="00A3015A"/>
    <w:rsid w:val="00A30DCF"/>
    <w:rsid w:val="00A31554"/>
    <w:rsid w:val="00A31F96"/>
    <w:rsid w:val="00A321DA"/>
    <w:rsid w:val="00A32837"/>
    <w:rsid w:val="00A32D6B"/>
    <w:rsid w:val="00A33834"/>
    <w:rsid w:val="00A33B24"/>
    <w:rsid w:val="00A33EDA"/>
    <w:rsid w:val="00A34704"/>
    <w:rsid w:val="00A35051"/>
    <w:rsid w:val="00A35DBA"/>
    <w:rsid w:val="00A35E94"/>
    <w:rsid w:val="00A35F27"/>
    <w:rsid w:val="00A36833"/>
    <w:rsid w:val="00A36C44"/>
    <w:rsid w:val="00A36E39"/>
    <w:rsid w:val="00A371D0"/>
    <w:rsid w:val="00A37818"/>
    <w:rsid w:val="00A3789F"/>
    <w:rsid w:val="00A37970"/>
    <w:rsid w:val="00A37BBD"/>
    <w:rsid w:val="00A37F17"/>
    <w:rsid w:val="00A4025F"/>
    <w:rsid w:val="00A40E3B"/>
    <w:rsid w:val="00A40EA6"/>
    <w:rsid w:val="00A412D3"/>
    <w:rsid w:val="00A415E1"/>
    <w:rsid w:val="00A41A12"/>
    <w:rsid w:val="00A41B30"/>
    <w:rsid w:val="00A41B67"/>
    <w:rsid w:val="00A424B3"/>
    <w:rsid w:val="00A43B95"/>
    <w:rsid w:val="00A43D2A"/>
    <w:rsid w:val="00A43E52"/>
    <w:rsid w:val="00A43F41"/>
    <w:rsid w:val="00A441BB"/>
    <w:rsid w:val="00A441F6"/>
    <w:rsid w:val="00A4443A"/>
    <w:rsid w:val="00A44CA6"/>
    <w:rsid w:val="00A44D3E"/>
    <w:rsid w:val="00A4536C"/>
    <w:rsid w:val="00A456AF"/>
    <w:rsid w:val="00A4601C"/>
    <w:rsid w:val="00A464DD"/>
    <w:rsid w:val="00A4691C"/>
    <w:rsid w:val="00A46ACA"/>
    <w:rsid w:val="00A46CC1"/>
    <w:rsid w:val="00A46DFC"/>
    <w:rsid w:val="00A46F1B"/>
    <w:rsid w:val="00A4718E"/>
    <w:rsid w:val="00A471B3"/>
    <w:rsid w:val="00A4766A"/>
    <w:rsid w:val="00A479DA"/>
    <w:rsid w:val="00A47B0B"/>
    <w:rsid w:val="00A47DF9"/>
    <w:rsid w:val="00A5080A"/>
    <w:rsid w:val="00A526E3"/>
    <w:rsid w:val="00A52C86"/>
    <w:rsid w:val="00A52DAD"/>
    <w:rsid w:val="00A53124"/>
    <w:rsid w:val="00A53265"/>
    <w:rsid w:val="00A5329E"/>
    <w:rsid w:val="00A53338"/>
    <w:rsid w:val="00A54031"/>
    <w:rsid w:val="00A54032"/>
    <w:rsid w:val="00A541EB"/>
    <w:rsid w:val="00A548B9"/>
    <w:rsid w:val="00A54965"/>
    <w:rsid w:val="00A554CE"/>
    <w:rsid w:val="00A5551E"/>
    <w:rsid w:val="00A55894"/>
    <w:rsid w:val="00A55DE7"/>
    <w:rsid w:val="00A5679B"/>
    <w:rsid w:val="00A56849"/>
    <w:rsid w:val="00A56ED4"/>
    <w:rsid w:val="00A5784A"/>
    <w:rsid w:val="00A57A9E"/>
    <w:rsid w:val="00A57B20"/>
    <w:rsid w:val="00A57C7D"/>
    <w:rsid w:val="00A605BA"/>
    <w:rsid w:val="00A60F8C"/>
    <w:rsid w:val="00A61193"/>
    <w:rsid w:val="00A6162A"/>
    <w:rsid w:val="00A61EDC"/>
    <w:rsid w:val="00A62445"/>
    <w:rsid w:val="00A62654"/>
    <w:rsid w:val="00A6299A"/>
    <w:rsid w:val="00A63965"/>
    <w:rsid w:val="00A63DA3"/>
    <w:rsid w:val="00A65CBA"/>
    <w:rsid w:val="00A66000"/>
    <w:rsid w:val="00A66105"/>
    <w:rsid w:val="00A66991"/>
    <w:rsid w:val="00A66C92"/>
    <w:rsid w:val="00A67508"/>
    <w:rsid w:val="00A67859"/>
    <w:rsid w:val="00A67A45"/>
    <w:rsid w:val="00A70051"/>
    <w:rsid w:val="00A7010B"/>
    <w:rsid w:val="00A70AEB"/>
    <w:rsid w:val="00A70DB7"/>
    <w:rsid w:val="00A70FBB"/>
    <w:rsid w:val="00A7188D"/>
    <w:rsid w:val="00A7198C"/>
    <w:rsid w:val="00A719D4"/>
    <w:rsid w:val="00A71E22"/>
    <w:rsid w:val="00A71F9E"/>
    <w:rsid w:val="00A71FEB"/>
    <w:rsid w:val="00A71FFE"/>
    <w:rsid w:val="00A72AE5"/>
    <w:rsid w:val="00A7318A"/>
    <w:rsid w:val="00A731BC"/>
    <w:rsid w:val="00A73778"/>
    <w:rsid w:val="00A73CDE"/>
    <w:rsid w:val="00A75040"/>
    <w:rsid w:val="00A750D8"/>
    <w:rsid w:val="00A756F4"/>
    <w:rsid w:val="00A75D74"/>
    <w:rsid w:val="00A766E4"/>
    <w:rsid w:val="00A7674B"/>
    <w:rsid w:val="00A76782"/>
    <w:rsid w:val="00A768E2"/>
    <w:rsid w:val="00A776A2"/>
    <w:rsid w:val="00A779DE"/>
    <w:rsid w:val="00A77A29"/>
    <w:rsid w:val="00A77AC3"/>
    <w:rsid w:val="00A77B8D"/>
    <w:rsid w:val="00A77C72"/>
    <w:rsid w:val="00A77DEB"/>
    <w:rsid w:val="00A80012"/>
    <w:rsid w:val="00A8069F"/>
    <w:rsid w:val="00A80A4A"/>
    <w:rsid w:val="00A80AE8"/>
    <w:rsid w:val="00A80B6F"/>
    <w:rsid w:val="00A81131"/>
    <w:rsid w:val="00A8230A"/>
    <w:rsid w:val="00A82382"/>
    <w:rsid w:val="00A8261E"/>
    <w:rsid w:val="00A82839"/>
    <w:rsid w:val="00A82963"/>
    <w:rsid w:val="00A83347"/>
    <w:rsid w:val="00A83443"/>
    <w:rsid w:val="00A83682"/>
    <w:rsid w:val="00A837A2"/>
    <w:rsid w:val="00A839F3"/>
    <w:rsid w:val="00A83DCC"/>
    <w:rsid w:val="00A844AE"/>
    <w:rsid w:val="00A84649"/>
    <w:rsid w:val="00A84681"/>
    <w:rsid w:val="00A84E2A"/>
    <w:rsid w:val="00A85125"/>
    <w:rsid w:val="00A85710"/>
    <w:rsid w:val="00A8606A"/>
    <w:rsid w:val="00A86D5C"/>
    <w:rsid w:val="00A86DDB"/>
    <w:rsid w:val="00A87111"/>
    <w:rsid w:val="00A901F7"/>
    <w:rsid w:val="00A90318"/>
    <w:rsid w:val="00A905E1"/>
    <w:rsid w:val="00A9088F"/>
    <w:rsid w:val="00A908E3"/>
    <w:rsid w:val="00A90CF7"/>
    <w:rsid w:val="00A91337"/>
    <w:rsid w:val="00A91BBE"/>
    <w:rsid w:val="00A91FF7"/>
    <w:rsid w:val="00A92117"/>
    <w:rsid w:val="00A928FC"/>
    <w:rsid w:val="00A92D3A"/>
    <w:rsid w:val="00A932E4"/>
    <w:rsid w:val="00A9356D"/>
    <w:rsid w:val="00A937C0"/>
    <w:rsid w:val="00A93DBB"/>
    <w:rsid w:val="00A94338"/>
    <w:rsid w:val="00A9459B"/>
    <w:rsid w:val="00A94804"/>
    <w:rsid w:val="00A94A2E"/>
    <w:rsid w:val="00A94BB4"/>
    <w:rsid w:val="00A94F2E"/>
    <w:rsid w:val="00A94FB1"/>
    <w:rsid w:val="00A9656F"/>
    <w:rsid w:val="00A970D0"/>
    <w:rsid w:val="00A975EC"/>
    <w:rsid w:val="00A979D8"/>
    <w:rsid w:val="00A97A27"/>
    <w:rsid w:val="00A97B04"/>
    <w:rsid w:val="00AA07A9"/>
    <w:rsid w:val="00AA080F"/>
    <w:rsid w:val="00AA0D4B"/>
    <w:rsid w:val="00AA145F"/>
    <w:rsid w:val="00AA186F"/>
    <w:rsid w:val="00AA1D69"/>
    <w:rsid w:val="00AA26C9"/>
    <w:rsid w:val="00AA2A1B"/>
    <w:rsid w:val="00AA2AD2"/>
    <w:rsid w:val="00AA33AF"/>
    <w:rsid w:val="00AA3A36"/>
    <w:rsid w:val="00AA3E93"/>
    <w:rsid w:val="00AA4719"/>
    <w:rsid w:val="00AA583F"/>
    <w:rsid w:val="00AA5C02"/>
    <w:rsid w:val="00AA5C0D"/>
    <w:rsid w:val="00AA5C34"/>
    <w:rsid w:val="00AA5E8E"/>
    <w:rsid w:val="00AA5FD8"/>
    <w:rsid w:val="00AA6060"/>
    <w:rsid w:val="00AA64BD"/>
    <w:rsid w:val="00AA677C"/>
    <w:rsid w:val="00AA6C97"/>
    <w:rsid w:val="00AA73D4"/>
    <w:rsid w:val="00AA7BFB"/>
    <w:rsid w:val="00AB011A"/>
    <w:rsid w:val="00AB031A"/>
    <w:rsid w:val="00AB03E3"/>
    <w:rsid w:val="00AB06A9"/>
    <w:rsid w:val="00AB091A"/>
    <w:rsid w:val="00AB27C0"/>
    <w:rsid w:val="00AB2E1C"/>
    <w:rsid w:val="00AB3627"/>
    <w:rsid w:val="00AB3749"/>
    <w:rsid w:val="00AB38C1"/>
    <w:rsid w:val="00AB3B4B"/>
    <w:rsid w:val="00AB4BC3"/>
    <w:rsid w:val="00AB541D"/>
    <w:rsid w:val="00AB5542"/>
    <w:rsid w:val="00AB62E9"/>
    <w:rsid w:val="00AB6B18"/>
    <w:rsid w:val="00AB75FC"/>
    <w:rsid w:val="00AB7644"/>
    <w:rsid w:val="00AB7A2C"/>
    <w:rsid w:val="00AB7A34"/>
    <w:rsid w:val="00AB7E42"/>
    <w:rsid w:val="00AB7F96"/>
    <w:rsid w:val="00AC07DE"/>
    <w:rsid w:val="00AC0EA9"/>
    <w:rsid w:val="00AC1024"/>
    <w:rsid w:val="00AC117A"/>
    <w:rsid w:val="00AC1786"/>
    <w:rsid w:val="00AC1E36"/>
    <w:rsid w:val="00AC2EF2"/>
    <w:rsid w:val="00AC3049"/>
    <w:rsid w:val="00AC3341"/>
    <w:rsid w:val="00AC3CC4"/>
    <w:rsid w:val="00AC3FE0"/>
    <w:rsid w:val="00AC4DF5"/>
    <w:rsid w:val="00AC59F6"/>
    <w:rsid w:val="00AC5F86"/>
    <w:rsid w:val="00AC6460"/>
    <w:rsid w:val="00AC6C96"/>
    <w:rsid w:val="00AC6CED"/>
    <w:rsid w:val="00AC6F08"/>
    <w:rsid w:val="00AC70F6"/>
    <w:rsid w:val="00AC748A"/>
    <w:rsid w:val="00AC7BB6"/>
    <w:rsid w:val="00AC7C45"/>
    <w:rsid w:val="00AD07B4"/>
    <w:rsid w:val="00AD15B8"/>
    <w:rsid w:val="00AD1A9F"/>
    <w:rsid w:val="00AD1CC4"/>
    <w:rsid w:val="00AD1E41"/>
    <w:rsid w:val="00AD211D"/>
    <w:rsid w:val="00AD2132"/>
    <w:rsid w:val="00AD268A"/>
    <w:rsid w:val="00AD2BDF"/>
    <w:rsid w:val="00AD2FEA"/>
    <w:rsid w:val="00AD3059"/>
    <w:rsid w:val="00AD30F4"/>
    <w:rsid w:val="00AD30FF"/>
    <w:rsid w:val="00AD3292"/>
    <w:rsid w:val="00AD3B27"/>
    <w:rsid w:val="00AD40A5"/>
    <w:rsid w:val="00AD4C32"/>
    <w:rsid w:val="00AD559A"/>
    <w:rsid w:val="00AD5630"/>
    <w:rsid w:val="00AD5AF1"/>
    <w:rsid w:val="00AD5B42"/>
    <w:rsid w:val="00AD6BC2"/>
    <w:rsid w:val="00AD722B"/>
    <w:rsid w:val="00AD7431"/>
    <w:rsid w:val="00AD74DD"/>
    <w:rsid w:val="00AD7579"/>
    <w:rsid w:val="00AD7DDA"/>
    <w:rsid w:val="00AE0441"/>
    <w:rsid w:val="00AE09B6"/>
    <w:rsid w:val="00AE0C75"/>
    <w:rsid w:val="00AE0DB0"/>
    <w:rsid w:val="00AE0F5A"/>
    <w:rsid w:val="00AE1A9C"/>
    <w:rsid w:val="00AE1ABF"/>
    <w:rsid w:val="00AE1D43"/>
    <w:rsid w:val="00AE21C9"/>
    <w:rsid w:val="00AE2504"/>
    <w:rsid w:val="00AE27A0"/>
    <w:rsid w:val="00AE2D18"/>
    <w:rsid w:val="00AE50B9"/>
    <w:rsid w:val="00AE5127"/>
    <w:rsid w:val="00AE5132"/>
    <w:rsid w:val="00AE5224"/>
    <w:rsid w:val="00AE545F"/>
    <w:rsid w:val="00AE5AC2"/>
    <w:rsid w:val="00AE5E34"/>
    <w:rsid w:val="00AE645C"/>
    <w:rsid w:val="00AE6705"/>
    <w:rsid w:val="00AE6ADB"/>
    <w:rsid w:val="00AE6CE7"/>
    <w:rsid w:val="00AE6D8B"/>
    <w:rsid w:val="00AE6D8C"/>
    <w:rsid w:val="00AE6DE2"/>
    <w:rsid w:val="00AE6DED"/>
    <w:rsid w:val="00AF043F"/>
    <w:rsid w:val="00AF0950"/>
    <w:rsid w:val="00AF0A2E"/>
    <w:rsid w:val="00AF0BCF"/>
    <w:rsid w:val="00AF0DF7"/>
    <w:rsid w:val="00AF10BE"/>
    <w:rsid w:val="00AF1885"/>
    <w:rsid w:val="00AF1D3C"/>
    <w:rsid w:val="00AF2287"/>
    <w:rsid w:val="00AF252C"/>
    <w:rsid w:val="00AF2D91"/>
    <w:rsid w:val="00AF31F8"/>
    <w:rsid w:val="00AF32C0"/>
    <w:rsid w:val="00AF339E"/>
    <w:rsid w:val="00AF4153"/>
    <w:rsid w:val="00AF423B"/>
    <w:rsid w:val="00AF4BE2"/>
    <w:rsid w:val="00AF4DB9"/>
    <w:rsid w:val="00AF504E"/>
    <w:rsid w:val="00AF5055"/>
    <w:rsid w:val="00AF527F"/>
    <w:rsid w:val="00AF5694"/>
    <w:rsid w:val="00AF628D"/>
    <w:rsid w:val="00AF7600"/>
    <w:rsid w:val="00AF7F22"/>
    <w:rsid w:val="00B00533"/>
    <w:rsid w:val="00B0098D"/>
    <w:rsid w:val="00B00ADE"/>
    <w:rsid w:val="00B00CF9"/>
    <w:rsid w:val="00B01368"/>
    <w:rsid w:val="00B0186C"/>
    <w:rsid w:val="00B01A99"/>
    <w:rsid w:val="00B01E00"/>
    <w:rsid w:val="00B01ED0"/>
    <w:rsid w:val="00B02152"/>
    <w:rsid w:val="00B02415"/>
    <w:rsid w:val="00B0284D"/>
    <w:rsid w:val="00B02FF7"/>
    <w:rsid w:val="00B03521"/>
    <w:rsid w:val="00B041BF"/>
    <w:rsid w:val="00B04A18"/>
    <w:rsid w:val="00B04B90"/>
    <w:rsid w:val="00B054F3"/>
    <w:rsid w:val="00B05515"/>
    <w:rsid w:val="00B05653"/>
    <w:rsid w:val="00B05678"/>
    <w:rsid w:val="00B05819"/>
    <w:rsid w:val="00B05E3B"/>
    <w:rsid w:val="00B0750E"/>
    <w:rsid w:val="00B0753B"/>
    <w:rsid w:val="00B0763E"/>
    <w:rsid w:val="00B07E8C"/>
    <w:rsid w:val="00B105CD"/>
    <w:rsid w:val="00B1099A"/>
    <w:rsid w:val="00B10B7F"/>
    <w:rsid w:val="00B10BBA"/>
    <w:rsid w:val="00B11380"/>
    <w:rsid w:val="00B117C4"/>
    <w:rsid w:val="00B11C7B"/>
    <w:rsid w:val="00B121EF"/>
    <w:rsid w:val="00B13B0B"/>
    <w:rsid w:val="00B13B21"/>
    <w:rsid w:val="00B142DA"/>
    <w:rsid w:val="00B148BF"/>
    <w:rsid w:val="00B1497F"/>
    <w:rsid w:val="00B149ED"/>
    <w:rsid w:val="00B14A99"/>
    <w:rsid w:val="00B14D82"/>
    <w:rsid w:val="00B14E82"/>
    <w:rsid w:val="00B14EB8"/>
    <w:rsid w:val="00B15030"/>
    <w:rsid w:val="00B150BA"/>
    <w:rsid w:val="00B1520E"/>
    <w:rsid w:val="00B155C8"/>
    <w:rsid w:val="00B157E8"/>
    <w:rsid w:val="00B16476"/>
    <w:rsid w:val="00B1692F"/>
    <w:rsid w:val="00B16E72"/>
    <w:rsid w:val="00B16EF8"/>
    <w:rsid w:val="00B16FAD"/>
    <w:rsid w:val="00B1751F"/>
    <w:rsid w:val="00B1783C"/>
    <w:rsid w:val="00B17E76"/>
    <w:rsid w:val="00B17F3A"/>
    <w:rsid w:val="00B20CC7"/>
    <w:rsid w:val="00B2122A"/>
    <w:rsid w:val="00B22A7A"/>
    <w:rsid w:val="00B22CFC"/>
    <w:rsid w:val="00B23063"/>
    <w:rsid w:val="00B2396E"/>
    <w:rsid w:val="00B23EAA"/>
    <w:rsid w:val="00B23F65"/>
    <w:rsid w:val="00B24750"/>
    <w:rsid w:val="00B25E95"/>
    <w:rsid w:val="00B266FE"/>
    <w:rsid w:val="00B268FE"/>
    <w:rsid w:val="00B26E32"/>
    <w:rsid w:val="00B271CC"/>
    <w:rsid w:val="00B27AA9"/>
    <w:rsid w:val="00B27D89"/>
    <w:rsid w:val="00B27EEE"/>
    <w:rsid w:val="00B303C9"/>
    <w:rsid w:val="00B30688"/>
    <w:rsid w:val="00B30FCE"/>
    <w:rsid w:val="00B316AB"/>
    <w:rsid w:val="00B317F9"/>
    <w:rsid w:val="00B31981"/>
    <w:rsid w:val="00B31E37"/>
    <w:rsid w:val="00B3279A"/>
    <w:rsid w:val="00B3306E"/>
    <w:rsid w:val="00B339A9"/>
    <w:rsid w:val="00B33D61"/>
    <w:rsid w:val="00B33FD1"/>
    <w:rsid w:val="00B34232"/>
    <w:rsid w:val="00B34425"/>
    <w:rsid w:val="00B34556"/>
    <w:rsid w:val="00B346CB"/>
    <w:rsid w:val="00B34AEA"/>
    <w:rsid w:val="00B34E9B"/>
    <w:rsid w:val="00B35271"/>
    <w:rsid w:val="00B353B8"/>
    <w:rsid w:val="00B356B8"/>
    <w:rsid w:val="00B3587F"/>
    <w:rsid w:val="00B3686A"/>
    <w:rsid w:val="00B36A83"/>
    <w:rsid w:val="00B371CE"/>
    <w:rsid w:val="00B37377"/>
    <w:rsid w:val="00B3737A"/>
    <w:rsid w:val="00B37963"/>
    <w:rsid w:val="00B401C4"/>
    <w:rsid w:val="00B403D0"/>
    <w:rsid w:val="00B40D7B"/>
    <w:rsid w:val="00B413B7"/>
    <w:rsid w:val="00B42137"/>
    <w:rsid w:val="00B42346"/>
    <w:rsid w:val="00B427FB"/>
    <w:rsid w:val="00B42A05"/>
    <w:rsid w:val="00B42E19"/>
    <w:rsid w:val="00B4368E"/>
    <w:rsid w:val="00B436F1"/>
    <w:rsid w:val="00B43878"/>
    <w:rsid w:val="00B43A76"/>
    <w:rsid w:val="00B43B5F"/>
    <w:rsid w:val="00B4413E"/>
    <w:rsid w:val="00B44608"/>
    <w:rsid w:val="00B44842"/>
    <w:rsid w:val="00B452FE"/>
    <w:rsid w:val="00B4567E"/>
    <w:rsid w:val="00B4617F"/>
    <w:rsid w:val="00B463DC"/>
    <w:rsid w:val="00B469A8"/>
    <w:rsid w:val="00B46C3B"/>
    <w:rsid w:val="00B4770A"/>
    <w:rsid w:val="00B47B39"/>
    <w:rsid w:val="00B47C41"/>
    <w:rsid w:val="00B47F7F"/>
    <w:rsid w:val="00B50328"/>
    <w:rsid w:val="00B50D68"/>
    <w:rsid w:val="00B5133C"/>
    <w:rsid w:val="00B515A5"/>
    <w:rsid w:val="00B519B5"/>
    <w:rsid w:val="00B51BBD"/>
    <w:rsid w:val="00B527D3"/>
    <w:rsid w:val="00B52984"/>
    <w:rsid w:val="00B52A45"/>
    <w:rsid w:val="00B52D89"/>
    <w:rsid w:val="00B52E23"/>
    <w:rsid w:val="00B5336A"/>
    <w:rsid w:val="00B538B4"/>
    <w:rsid w:val="00B53E0B"/>
    <w:rsid w:val="00B5529A"/>
    <w:rsid w:val="00B5537B"/>
    <w:rsid w:val="00B5584F"/>
    <w:rsid w:val="00B55920"/>
    <w:rsid w:val="00B563E1"/>
    <w:rsid w:val="00B56414"/>
    <w:rsid w:val="00B564CA"/>
    <w:rsid w:val="00B56635"/>
    <w:rsid w:val="00B56DCE"/>
    <w:rsid w:val="00B573F6"/>
    <w:rsid w:val="00B5752E"/>
    <w:rsid w:val="00B5786C"/>
    <w:rsid w:val="00B57B8F"/>
    <w:rsid w:val="00B6034A"/>
    <w:rsid w:val="00B60AEC"/>
    <w:rsid w:val="00B60BEE"/>
    <w:rsid w:val="00B6124D"/>
    <w:rsid w:val="00B61356"/>
    <w:rsid w:val="00B613B9"/>
    <w:rsid w:val="00B614CE"/>
    <w:rsid w:val="00B61539"/>
    <w:rsid w:val="00B618C8"/>
    <w:rsid w:val="00B61EFD"/>
    <w:rsid w:val="00B6227E"/>
    <w:rsid w:val="00B62E4A"/>
    <w:rsid w:val="00B62F02"/>
    <w:rsid w:val="00B63783"/>
    <w:rsid w:val="00B6386C"/>
    <w:rsid w:val="00B6421A"/>
    <w:rsid w:val="00B65380"/>
    <w:rsid w:val="00B655AC"/>
    <w:rsid w:val="00B65ECA"/>
    <w:rsid w:val="00B661CE"/>
    <w:rsid w:val="00B661D0"/>
    <w:rsid w:val="00B669EC"/>
    <w:rsid w:val="00B66D00"/>
    <w:rsid w:val="00B7016B"/>
    <w:rsid w:val="00B704A8"/>
    <w:rsid w:val="00B70D5D"/>
    <w:rsid w:val="00B71389"/>
    <w:rsid w:val="00B71886"/>
    <w:rsid w:val="00B719FB"/>
    <w:rsid w:val="00B71B75"/>
    <w:rsid w:val="00B7233C"/>
    <w:rsid w:val="00B72687"/>
    <w:rsid w:val="00B7291B"/>
    <w:rsid w:val="00B72B3D"/>
    <w:rsid w:val="00B73230"/>
    <w:rsid w:val="00B73776"/>
    <w:rsid w:val="00B737D7"/>
    <w:rsid w:val="00B73B22"/>
    <w:rsid w:val="00B73CAE"/>
    <w:rsid w:val="00B746A1"/>
    <w:rsid w:val="00B7470A"/>
    <w:rsid w:val="00B74853"/>
    <w:rsid w:val="00B74859"/>
    <w:rsid w:val="00B74B6C"/>
    <w:rsid w:val="00B7563C"/>
    <w:rsid w:val="00B75774"/>
    <w:rsid w:val="00B75795"/>
    <w:rsid w:val="00B759E9"/>
    <w:rsid w:val="00B75A72"/>
    <w:rsid w:val="00B75D9A"/>
    <w:rsid w:val="00B7619A"/>
    <w:rsid w:val="00B76318"/>
    <w:rsid w:val="00B766BC"/>
    <w:rsid w:val="00B7671B"/>
    <w:rsid w:val="00B771BA"/>
    <w:rsid w:val="00B7764E"/>
    <w:rsid w:val="00B77D55"/>
    <w:rsid w:val="00B80005"/>
    <w:rsid w:val="00B80012"/>
    <w:rsid w:val="00B8012D"/>
    <w:rsid w:val="00B80237"/>
    <w:rsid w:val="00B8025B"/>
    <w:rsid w:val="00B803EA"/>
    <w:rsid w:val="00B80EBF"/>
    <w:rsid w:val="00B813AA"/>
    <w:rsid w:val="00B81551"/>
    <w:rsid w:val="00B817E9"/>
    <w:rsid w:val="00B81BD9"/>
    <w:rsid w:val="00B820F4"/>
    <w:rsid w:val="00B82744"/>
    <w:rsid w:val="00B82F3B"/>
    <w:rsid w:val="00B835F6"/>
    <w:rsid w:val="00B8473D"/>
    <w:rsid w:val="00B8474C"/>
    <w:rsid w:val="00B84948"/>
    <w:rsid w:val="00B84C73"/>
    <w:rsid w:val="00B85449"/>
    <w:rsid w:val="00B85491"/>
    <w:rsid w:val="00B857EF"/>
    <w:rsid w:val="00B8586E"/>
    <w:rsid w:val="00B85A04"/>
    <w:rsid w:val="00B86536"/>
    <w:rsid w:val="00B8666F"/>
    <w:rsid w:val="00B86E6F"/>
    <w:rsid w:val="00B874FA"/>
    <w:rsid w:val="00B87A42"/>
    <w:rsid w:val="00B87A61"/>
    <w:rsid w:val="00B87DB3"/>
    <w:rsid w:val="00B903CA"/>
    <w:rsid w:val="00B90A58"/>
    <w:rsid w:val="00B914CB"/>
    <w:rsid w:val="00B915F1"/>
    <w:rsid w:val="00B92250"/>
    <w:rsid w:val="00B9229F"/>
    <w:rsid w:val="00B92BC2"/>
    <w:rsid w:val="00B92EC7"/>
    <w:rsid w:val="00B9341F"/>
    <w:rsid w:val="00B93CCB"/>
    <w:rsid w:val="00B93CD9"/>
    <w:rsid w:val="00B94456"/>
    <w:rsid w:val="00B9461F"/>
    <w:rsid w:val="00B94770"/>
    <w:rsid w:val="00B94D70"/>
    <w:rsid w:val="00B952D0"/>
    <w:rsid w:val="00B95562"/>
    <w:rsid w:val="00B95C12"/>
    <w:rsid w:val="00B9638C"/>
    <w:rsid w:val="00B966A8"/>
    <w:rsid w:val="00B96C3A"/>
    <w:rsid w:val="00B96FC0"/>
    <w:rsid w:val="00B97007"/>
    <w:rsid w:val="00B97608"/>
    <w:rsid w:val="00B976BC"/>
    <w:rsid w:val="00B9787F"/>
    <w:rsid w:val="00B9793F"/>
    <w:rsid w:val="00BA02AF"/>
    <w:rsid w:val="00BA0F44"/>
    <w:rsid w:val="00BA13A8"/>
    <w:rsid w:val="00BA151F"/>
    <w:rsid w:val="00BA1589"/>
    <w:rsid w:val="00BA181D"/>
    <w:rsid w:val="00BA2397"/>
    <w:rsid w:val="00BA2445"/>
    <w:rsid w:val="00BA254E"/>
    <w:rsid w:val="00BA268D"/>
    <w:rsid w:val="00BA3443"/>
    <w:rsid w:val="00BA3F05"/>
    <w:rsid w:val="00BA50F8"/>
    <w:rsid w:val="00BA51B8"/>
    <w:rsid w:val="00BA5417"/>
    <w:rsid w:val="00BA5587"/>
    <w:rsid w:val="00BA5CDA"/>
    <w:rsid w:val="00BA6658"/>
    <w:rsid w:val="00BA6F7E"/>
    <w:rsid w:val="00BA718E"/>
    <w:rsid w:val="00BA7A61"/>
    <w:rsid w:val="00BB1F15"/>
    <w:rsid w:val="00BB26D5"/>
    <w:rsid w:val="00BB2765"/>
    <w:rsid w:val="00BB2DD8"/>
    <w:rsid w:val="00BB4674"/>
    <w:rsid w:val="00BB4857"/>
    <w:rsid w:val="00BB4990"/>
    <w:rsid w:val="00BB4994"/>
    <w:rsid w:val="00BB4B76"/>
    <w:rsid w:val="00BB4D48"/>
    <w:rsid w:val="00BB5226"/>
    <w:rsid w:val="00BB5AA1"/>
    <w:rsid w:val="00BB5D6E"/>
    <w:rsid w:val="00BB5E77"/>
    <w:rsid w:val="00BB6710"/>
    <w:rsid w:val="00BB6761"/>
    <w:rsid w:val="00BB6889"/>
    <w:rsid w:val="00BB77A1"/>
    <w:rsid w:val="00BC024B"/>
    <w:rsid w:val="00BC08E2"/>
    <w:rsid w:val="00BC102C"/>
    <w:rsid w:val="00BC144C"/>
    <w:rsid w:val="00BC1629"/>
    <w:rsid w:val="00BC163D"/>
    <w:rsid w:val="00BC19EE"/>
    <w:rsid w:val="00BC1CCE"/>
    <w:rsid w:val="00BC1DCF"/>
    <w:rsid w:val="00BC22A3"/>
    <w:rsid w:val="00BC234B"/>
    <w:rsid w:val="00BC2788"/>
    <w:rsid w:val="00BC2A7C"/>
    <w:rsid w:val="00BC2FF8"/>
    <w:rsid w:val="00BC3289"/>
    <w:rsid w:val="00BC3BDF"/>
    <w:rsid w:val="00BC3F47"/>
    <w:rsid w:val="00BC40F5"/>
    <w:rsid w:val="00BC4265"/>
    <w:rsid w:val="00BC431C"/>
    <w:rsid w:val="00BC468A"/>
    <w:rsid w:val="00BC4DAF"/>
    <w:rsid w:val="00BC5007"/>
    <w:rsid w:val="00BC505F"/>
    <w:rsid w:val="00BC541D"/>
    <w:rsid w:val="00BC5A4B"/>
    <w:rsid w:val="00BC69ED"/>
    <w:rsid w:val="00BC702B"/>
    <w:rsid w:val="00BC7F08"/>
    <w:rsid w:val="00BC7F74"/>
    <w:rsid w:val="00BD01B9"/>
    <w:rsid w:val="00BD04B8"/>
    <w:rsid w:val="00BD080D"/>
    <w:rsid w:val="00BD0932"/>
    <w:rsid w:val="00BD0B83"/>
    <w:rsid w:val="00BD0BB1"/>
    <w:rsid w:val="00BD10B6"/>
    <w:rsid w:val="00BD1C7E"/>
    <w:rsid w:val="00BD20CA"/>
    <w:rsid w:val="00BD2B9D"/>
    <w:rsid w:val="00BD2C12"/>
    <w:rsid w:val="00BD2F96"/>
    <w:rsid w:val="00BD3150"/>
    <w:rsid w:val="00BD3441"/>
    <w:rsid w:val="00BD3C9E"/>
    <w:rsid w:val="00BD3D71"/>
    <w:rsid w:val="00BD4035"/>
    <w:rsid w:val="00BD4774"/>
    <w:rsid w:val="00BD478A"/>
    <w:rsid w:val="00BD4EBD"/>
    <w:rsid w:val="00BD5D3C"/>
    <w:rsid w:val="00BD69BD"/>
    <w:rsid w:val="00BD6D2D"/>
    <w:rsid w:val="00BD6E7E"/>
    <w:rsid w:val="00BE021D"/>
    <w:rsid w:val="00BE06AD"/>
    <w:rsid w:val="00BE0C18"/>
    <w:rsid w:val="00BE0DD5"/>
    <w:rsid w:val="00BE1331"/>
    <w:rsid w:val="00BE1793"/>
    <w:rsid w:val="00BE1C1C"/>
    <w:rsid w:val="00BE20C3"/>
    <w:rsid w:val="00BE2143"/>
    <w:rsid w:val="00BE2D57"/>
    <w:rsid w:val="00BE2EA7"/>
    <w:rsid w:val="00BE31CC"/>
    <w:rsid w:val="00BE3497"/>
    <w:rsid w:val="00BE4162"/>
    <w:rsid w:val="00BE46D4"/>
    <w:rsid w:val="00BE4A4D"/>
    <w:rsid w:val="00BE4CE3"/>
    <w:rsid w:val="00BE547B"/>
    <w:rsid w:val="00BE5688"/>
    <w:rsid w:val="00BE58D2"/>
    <w:rsid w:val="00BE5927"/>
    <w:rsid w:val="00BE59BE"/>
    <w:rsid w:val="00BE63EB"/>
    <w:rsid w:val="00BE6B96"/>
    <w:rsid w:val="00BE6F49"/>
    <w:rsid w:val="00BE705E"/>
    <w:rsid w:val="00BE79F6"/>
    <w:rsid w:val="00BF042A"/>
    <w:rsid w:val="00BF08ED"/>
    <w:rsid w:val="00BF0B58"/>
    <w:rsid w:val="00BF0C29"/>
    <w:rsid w:val="00BF0E39"/>
    <w:rsid w:val="00BF0F83"/>
    <w:rsid w:val="00BF1042"/>
    <w:rsid w:val="00BF107E"/>
    <w:rsid w:val="00BF1467"/>
    <w:rsid w:val="00BF1809"/>
    <w:rsid w:val="00BF2495"/>
    <w:rsid w:val="00BF2A16"/>
    <w:rsid w:val="00BF2D3C"/>
    <w:rsid w:val="00BF2D6F"/>
    <w:rsid w:val="00BF2E99"/>
    <w:rsid w:val="00BF30E4"/>
    <w:rsid w:val="00BF3158"/>
    <w:rsid w:val="00BF3283"/>
    <w:rsid w:val="00BF330A"/>
    <w:rsid w:val="00BF3504"/>
    <w:rsid w:val="00BF35ED"/>
    <w:rsid w:val="00BF366B"/>
    <w:rsid w:val="00BF37CF"/>
    <w:rsid w:val="00BF3AF3"/>
    <w:rsid w:val="00BF3D50"/>
    <w:rsid w:val="00BF41D9"/>
    <w:rsid w:val="00BF4886"/>
    <w:rsid w:val="00BF488F"/>
    <w:rsid w:val="00BF4B35"/>
    <w:rsid w:val="00BF4C18"/>
    <w:rsid w:val="00BF4E34"/>
    <w:rsid w:val="00BF5961"/>
    <w:rsid w:val="00BF5E24"/>
    <w:rsid w:val="00BF64F2"/>
    <w:rsid w:val="00BF6688"/>
    <w:rsid w:val="00BF6C89"/>
    <w:rsid w:val="00BF6F15"/>
    <w:rsid w:val="00BF75BD"/>
    <w:rsid w:val="00BF76DF"/>
    <w:rsid w:val="00C0094F"/>
    <w:rsid w:val="00C011FC"/>
    <w:rsid w:val="00C016E5"/>
    <w:rsid w:val="00C0192B"/>
    <w:rsid w:val="00C01A34"/>
    <w:rsid w:val="00C01AC9"/>
    <w:rsid w:val="00C01B7B"/>
    <w:rsid w:val="00C01F81"/>
    <w:rsid w:val="00C025C9"/>
    <w:rsid w:val="00C02611"/>
    <w:rsid w:val="00C02DCF"/>
    <w:rsid w:val="00C02E4C"/>
    <w:rsid w:val="00C0329E"/>
    <w:rsid w:val="00C03F68"/>
    <w:rsid w:val="00C041DD"/>
    <w:rsid w:val="00C043C5"/>
    <w:rsid w:val="00C04913"/>
    <w:rsid w:val="00C04DD5"/>
    <w:rsid w:val="00C0504F"/>
    <w:rsid w:val="00C050E6"/>
    <w:rsid w:val="00C05461"/>
    <w:rsid w:val="00C054E5"/>
    <w:rsid w:val="00C056F1"/>
    <w:rsid w:val="00C05A2E"/>
    <w:rsid w:val="00C05D3A"/>
    <w:rsid w:val="00C0642F"/>
    <w:rsid w:val="00C064CC"/>
    <w:rsid w:val="00C06538"/>
    <w:rsid w:val="00C07EB3"/>
    <w:rsid w:val="00C10469"/>
    <w:rsid w:val="00C108B6"/>
    <w:rsid w:val="00C108C4"/>
    <w:rsid w:val="00C10D03"/>
    <w:rsid w:val="00C116EA"/>
    <w:rsid w:val="00C117FC"/>
    <w:rsid w:val="00C11A45"/>
    <w:rsid w:val="00C11D8A"/>
    <w:rsid w:val="00C133F1"/>
    <w:rsid w:val="00C13455"/>
    <w:rsid w:val="00C13470"/>
    <w:rsid w:val="00C138DB"/>
    <w:rsid w:val="00C139D1"/>
    <w:rsid w:val="00C143B1"/>
    <w:rsid w:val="00C143DE"/>
    <w:rsid w:val="00C14414"/>
    <w:rsid w:val="00C147C7"/>
    <w:rsid w:val="00C149B2"/>
    <w:rsid w:val="00C14C2A"/>
    <w:rsid w:val="00C14CF9"/>
    <w:rsid w:val="00C1504D"/>
    <w:rsid w:val="00C15867"/>
    <w:rsid w:val="00C15EA1"/>
    <w:rsid w:val="00C15FDA"/>
    <w:rsid w:val="00C16261"/>
    <w:rsid w:val="00C16537"/>
    <w:rsid w:val="00C16679"/>
    <w:rsid w:val="00C17004"/>
    <w:rsid w:val="00C1739E"/>
    <w:rsid w:val="00C20051"/>
    <w:rsid w:val="00C21081"/>
    <w:rsid w:val="00C2250F"/>
    <w:rsid w:val="00C2274E"/>
    <w:rsid w:val="00C227B4"/>
    <w:rsid w:val="00C2281A"/>
    <w:rsid w:val="00C22919"/>
    <w:rsid w:val="00C231DC"/>
    <w:rsid w:val="00C240C4"/>
    <w:rsid w:val="00C241A3"/>
    <w:rsid w:val="00C246D2"/>
    <w:rsid w:val="00C24D9D"/>
    <w:rsid w:val="00C24F08"/>
    <w:rsid w:val="00C2506A"/>
    <w:rsid w:val="00C256D0"/>
    <w:rsid w:val="00C25AEC"/>
    <w:rsid w:val="00C25F78"/>
    <w:rsid w:val="00C26E9D"/>
    <w:rsid w:val="00C26F9D"/>
    <w:rsid w:val="00C279B5"/>
    <w:rsid w:val="00C3008C"/>
    <w:rsid w:val="00C3109E"/>
    <w:rsid w:val="00C31355"/>
    <w:rsid w:val="00C31775"/>
    <w:rsid w:val="00C31A2D"/>
    <w:rsid w:val="00C31BAC"/>
    <w:rsid w:val="00C322C1"/>
    <w:rsid w:val="00C32D43"/>
    <w:rsid w:val="00C33670"/>
    <w:rsid w:val="00C337F3"/>
    <w:rsid w:val="00C3412C"/>
    <w:rsid w:val="00C34B48"/>
    <w:rsid w:val="00C35200"/>
    <w:rsid w:val="00C355C9"/>
    <w:rsid w:val="00C359FF"/>
    <w:rsid w:val="00C35B76"/>
    <w:rsid w:val="00C35DAF"/>
    <w:rsid w:val="00C361BF"/>
    <w:rsid w:val="00C3628F"/>
    <w:rsid w:val="00C3648D"/>
    <w:rsid w:val="00C36A4B"/>
    <w:rsid w:val="00C37005"/>
    <w:rsid w:val="00C3735E"/>
    <w:rsid w:val="00C37395"/>
    <w:rsid w:val="00C373D9"/>
    <w:rsid w:val="00C377D7"/>
    <w:rsid w:val="00C37801"/>
    <w:rsid w:val="00C4035B"/>
    <w:rsid w:val="00C40A8F"/>
    <w:rsid w:val="00C416C3"/>
    <w:rsid w:val="00C416D2"/>
    <w:rsid w:val="00C416E6"/>
    <w:rsid w:val="00C41836"/>
    <w:rsid w:val="00C41E95"/>
    <w:rsid w:val="00C41F19"/>
    <w:rsid w:val="00C4221C"/>
    <w:rsid w:val="00C425D8"/>
    <w:rsid w:val="00C427E0"/>
    <w:rsid w:val="00C428E7"/>
    <w:rsid w:val="00C42A48"/>
    <w:rsid w:val="00C42DA0"/>
    <w:rsid w:val="00C4327A"/>
    <w:rsid w:val="00C4369E"/>
    <w:rsid w:val="00C43B17"/>
    <w:rsid w:val="00C4408E"/>
    <w:rsid w:val="00C44151"/>
    <w:rsid w:val="00C442ED"/>
    <w:rsid w:val="00C44685"/>
    <w:rsid w:val="00C449C1"/>
    <w:rsid w:val="00C44A9A"/>
    <w:rsid w:val="00C44AA5"/>
    <w:rsid w:val="00C44E7D"/>
    <w:rsid w:val="00C44E80"/>
    <w:rsid w:val="00C44FBE"/>
    <w:rsid w:val="00C458E6"/>
    <w:rsid w:val="00C462D2"/>
    <w:rsid w:val="00C4679F"/>
    <w:rsid w:val="00C4732B"/>
    <w:rsid w:val="00C47573"/>
    <w:rsid w:val="00C47F56"/>
    <w:rsid w:val="00C50BB0"/>
    <w:rsid w:val="00C51153"/>
    <w:rsid w:val="00C51996"/>
    <w:rsid w:val="00C51C40"/>
    <w:rsid w:val="00C51C7C"/>
    <w:rsid w:val="00C523A7"/>
    <w:rsid w:val="00C525D0"/>
    <w:rsid w:val="00C528AC"/>
    <w:rsid w:val="00C52AF6"/>
    <w:rsid w:val="00C52DEE"/>
    <w:rsid w:val="00C532F4"/>
    <w:rsid w:val="00C53442"/>
    <w:rsid w:val="00C53561"/>
    <w:rsid w:val="00C53738"/>
    <w:rsid w:val="00C53873"/>
    <w:rsid w:val="00C53956"/>
    <w:rsid w:val="00C53F6A"/>
    <w:rsid w:val="00C54225"/>
    <w:rsid w:val="00C5429F"/>
    <w:rsid w:val="00C54701"/>
    <w:rsid w:val="00C5519D"/>
    <w:rsid w:val="00C55530"/>
    <w:rsid w:val="00C55B6E"/>
    <w:rsid w:val="00C561B6"/>
    <w:rsid w:val="00C5651F"/>
    <w:rsid w:val="00C56605"/>
    <w:rsid w:val="00C568A4"/>
    <w:rsid w:val="00C56AA9"/>
    <w:rsid w:val="00C56C5B"/>
    <w:rsid w:val="00C575D8"/>
    <w:rsid w:val="00C60357"/>
    <w:rsid w:val="00C60A69"/>
    <w:rsid w:val="00C61543"/>
    <w:rsid w:val="00C61A72"/>
    <w:rsid w:val="00C624DB"/>
    <w:rsid w:val="00C62532"/>
    <w:rsid w:val="00C6278C"/>
    <w:rsid w:val="00C636EB"/>
    <w:rsid w:val="00C63B4B"/>
    <w:rsid w:val="00C63F6C"/>
    <w:rsid w:val="00C6464B"/>
    <w:rsid w:val="00C64B40"/>
    <w:rsid w:val="00C6511E"/>
    <w:rsid w:val="00C6579E"/>
    <w:rsid w:val="00C65999"/>
    <w:rsid w:val="00C6603D"/>
    <w:rsid w:val="00C667F2"/>
    <w:rsid w:val="00C66A61"/>
    <w:rsid w:val="00C66AD2"/>
    <w:rsid w:val="00C66E45"/>
    <w:rsid w:val="00C6749A"/>
    <w:rsid w:val="00C67620"/>
    <w:rsid w:val="00C67FAE"/>
    <w:rsid w:val="00C70108"/>
    <w:rsid w:val="00C70850"/>
    <w:rsid w:val="00C71153"/>
    <w:rsid w:val="00C714AE"/>
    <w:rsid w:val="00C71926"/>
    <w:rsid w:val="00C71A2D"/>
    <w:rsid w:val="00C71EBA"/>
    <w:rsid w:val="00C7208C"/>
    <w:rsid w:val="00C72BCC"/>
    <w:rsid w:val="00C72D4B"/>
    <w:rsid w:val="00C72E45"/>
    <w:rsid w:val="00C72E9E"/>
    <w:rsid w:val="00C73791"/>
    <w:rsid w:val="00C73BD1"/>
    <w:rsid w:val="00C741B6"/>
    <w:rsid w:val="00C744EB"/>
    <w:rsid w:val="00C74928"/>
    <w:rsid w:val="00C74B00"/>
    <w:rsid w:val="00C7507B"/>
    <w:rsid w:val="00C752E0"/>
    <w:rsid w:val="00C75667"/>
    <w:rsid w:val="00C7594C"/>
    <w:rsid w:val="00C75ABA"/>
    <w:rsid w:val="00C75B0C"/>
    <w:rsid w:val="00C76310"/>
    <w:rsid w:val="00C76B92"/>
    <w:rsid w:val="00C76ECD"/>
    <w:rsid w:val="00C77807"/>
    <w:rsid w:val="00C77A0A"/>
    <w:rsid w:val="00C80C7A"/>
    <w:rsid w:val="00C81029"/>
    <w:rsid w:val="00C81B7D"/>
    <w:rsid w:val="00C8236C"/>
    <w:rsid w:val="00C823B3"/>
    <w:rsid w:val="00C82A29"/>
    <w:rsid w:val="00C82A40"/>
    <w:rsid w:val="00C82BAF"/>
    <w:rsid w:val="00C841FD"/>
    <w:rsid w:val="00C842F0"/>
    <w:rsid w:val="00C85163"/>
    <w:rsid w:val="00C853FF"/>
    <w:rsid w:val="00C8579F"/>
    <w:rsid w:val="00C85996"/>
    <w:rsid w:val="00C85BC3"/>
    <w:rsid w:val="00C85E87"/>
    <w:rsid w:val="00C8620D"/>
    <w:rsid w:val="00C8646E"/>
    <w:rsid w:val="00C8686B"/>
    <w:rsid w:val="00C86A6D"/>
    <w:rsid w:val="00C86ED8"/>
    <w:rsid w:val="00C86EFA"/>
    <w:rsid w:val="00C87023"/>
    <w:rsid w:val="00C8714F"/>
    <w:rsid w:val="00C873C0"/>
    <w:rsid w:val="00C879AC"/>
    <w:rsid w:val="00C904D4"/>
    <w:rsid w:val="00C90B5C"/>
    <w:rsid w:val="00C90FA8"/>
    <w:rsid w:val="00C913A0"/>
    <w:rsid w:val="00C9162E"/>
    <w:rsid w:val="00C91A5C"/>
    <w:rsid w:val="00C92395"/>
    <w:rsid w:val="00C929A2"/>
    <w:rsid w:val="00C92B80"/>
    <w:rsid w:val="00C92C17"/>
    <w:rsid w:val="00C92CBA"/>
    <w:rsid w:val="00C92F98"/>
    <w:rsid w:val="00C9304F"/>
    <w:rsid w:val="00C93572"/>
    <w:rsid w:val="00C93B3F"/>
    <w:rsid w:val="00C93D55"/>
    <w:rsid w:val="00C943EE"/>
    <w:rsid w:val="00C9508C"/>
    <w:rsid w:val="00C95CDA"/>
    <w:rsid w:val="00C962C9"/>
    <w:rsid w:val="00C963B7"/>
    <w:rsid w:val="00C963F9"/>
    <w:rsid w:val="00C9668A"/>
    <w:rsid w:val="00C968F2"/>
    <w:rsid w:val="00C96C1B"/>
    <w:rsid w:val="00C971CC"/>
    <w:rsid w:val="00C973D6"/>
    <w:rsid w:val="00C97448"/>
    <w:rsid w:val="00CA041B"/>
    <w:rsid w:val="00CA0468"/>
    <w:rsid w:val="00CA0B01"/>
    <w:rsid w:val="00CA0F67"/>
    <w:rsid w:val="00CA0FF3"/>
    <w:rsid w:val="00CA1394"/>
    <w:rsid w:val="00CA168A"/>
    <w:rsid w:val="00CA1B90"/>
    <w:rsid w:val="00CA1F55"/>
    <w:rsid w:val="00CA2DE5"/>
    <w:rsid w:val="00CA2E85"/>
    <w:rsid w:val="00CA2F53"/>
    <w:rsid w:val="00CA33CA"/>
    <w:rsid w:val="00CA364E"/>
    <w:rsid w:val="00CA39D2"/>
    <w:rsid w:val="00CA4685"/>
    <w:rsid w:val="00CA49E7"/>
    <w:rsid w:val="00CA4D8A"/>
    <w:rsid w:val="00CA4ED1"/>
    <w:rsid w:val="00CA4F09"/>
    <w:rsid w:val="00CA5301"/>
    <w:rsid w:val="00CA595A"/>
    <w:rsid w:val="00CA5DB0"/>
    <w:rsid w:val="00CA5EBA"/>
    <w:rsid w:val="00CA63F1"/>
    <w:rsid w:val="00CA64DA"/>
    <w:rsid w:val="00CA6784"/>
    <w:rsid w:val="00CA6854"/>
    <w:rsid w:val="00CA7608"/>
    <w:rsid w:val="00CA7813"/>
    <w:rsid w:val="00CA7E73"/>
    <w:rsid w:val="00CA7F4B"/>
    <w:rsid w:val="00CB0F5C"/>
    <w:rsid w:val="00CB1092"/>
    <w:rsid w:val="00CB1E54"/>
    <w:rsid w:val="00CB2090"/>
    <w:rsid w:val="00CB2E55"/>
    <w:rsid w:val="00CB334E"/>
    <w:rsid w:val="00CB34F4"/>
    <w:rsid w:val="00CB3630"/>
    <w:rsid w:val="00CB3751"/>
    <w:rsid w:val="00CB383F"/>
    <w:rsid w:val="00CB3B2E"/>
    <w:rsid w:val="00CB456F"/>
    <w:rsid w:val="00CB4B9E"/>
    <w:rsid w:val="00CB4DE5"/>
    <w:rsid w:val="00CB4F81"/>
    <w:rsid w:val="00CB55D4"/>
    <w:rsid w:val="00CB618C"/>
    <w:rsid w:val="00CB65C1"/>
    <w:rsid w:val="00CB681B"/>
    <w:rsid w:val="00CB693C"/>
    <w:rsid w:val="00CB6C4B"/>
    <w:rsid w:val="00CB71CF"/>
    <w:rsid w:val="00CB728A"/>
    <w:rsid w:val="00CB72C0"/>
    <w:rsid w:val="00CB770F"/>
    <w:rsid w:val="00CB7B4E"/>
    <w:rsid w:val="00CB7F27"/>
    <w:rsid w:val="00CBC0FA"/>
    <w:rsid w:val="00CC00C1"/>
    <w:rsid w:val="00CC040A"/>
    <w:rsid w:val="00CC055A"/>
    <w:rsid w:val="00CC0ACB"/>
    <w:rsid w:val="00CC154F"/>
    <w:rsid w:val="00CC1702"/>
    <w:rsid w:val="00CC1EE4"/>
    <w:rsid w:val="00CC1EE8"/>
    <w:rsid w:val="00CC220E"/>
    <w:rsid w:val="00CC237A"/>
    <w:rsid w:val="00CC257A"/>
    <w:rsid w:val="00CC25C1"/>
    <w:rsid w:val="00CC2BB5"/>
    <w:rsid w:val="00CC2E19"/>
    <w:rsid w:val="00CC329E"/>
    <w:rsid w:val="00CC38AB"/>
    <w:rsid w:val="00CC426F"/>
    <w:rsid w:val="00CC4B97"/>
    <w:rsid w:val="00CC4C1B"/>
    <w:rsid w:val="00CC4E14"/>
    <w:rsid w:val="00CC5193"/>
    <w:rsid w:val="00CC5B0B"/>
    <w:rsid w:val="00CC5F66"/>
    <w:rsid w:val="00CC6032"/>
    <w:rsid w:val="00CC6A9C"/>
    <w:rsid w:val="00CC6D7F"/>
    <w:rsid w:val="00CC6EA4"/>
    <w:rsid w:val="00CD04D1"/>
    <w:rsid w:val="00CD075F"/>
    <w:rsid w:val="00CD08AF"/>
    <w:rsid w:val="00CD0E31"/>
    <w:rsid w:val="00CD1980"/>
    <w:rsid w:val="00CD1E1F"/>
    <w:rsid w:val="00CD29F2"/>
    <w:rsid w:val="00CD3225"/>
    <w:rsid w:val="00CD328E"/>
    <w:rsid w:val="00CD3973"/>
    <w:rsid w:val="00CD3D50"/>
    <w:rsid w:val="00CD3E25"/>
    <w:rsid w:val="00CD435E"/>
    <w:rsid w:val="00CD50A9"/>
    <w:rsid w:val="00CD51F8"/>
    <w:rsid w:val="00CD5621"/>
    <w:rsid w:val="00CD5BE0"/>
    <w:rsid w:val="00CD5EA9"/>
    <w:rsid w:val="00CD667E"/>
    <w:rsid w:val="00CD6BC6"/>
    <w:rsid w:val="00CD6E68"/>
    <w:rsid w:val="00CD709C"/>
    <w:rsid w:val="00CD7C03"/>
    <w:rsid w:val="00CE0285"/>
    <w:rsid w:val="00CE08C8"/>
    <w:rsid w:val="00CE0C1F"/>
    <w:rsid w:val="00CE11F9"/>
    <w:rsid w:val="00CE1929"/>
    <w:rsid w:val="00CE1990"/>
    <w:rsid w:val="00CE1A87"/>
    <w:rsid w:val="00CE1CAA"/>
    <w:rsid w:val="00CE1F6A"/>
    <w:rsid w:val="00CE3108"/>
    <w:rsid w:val="00CE3236"/>
    <w:rsid w:val="00CE3A3C"/>
    <w:rsid w:val="00CE47E9"/>
    <w:rsid w:val="00CE4BD2"/>
    <w:rsid w:val="00CE5692"/>
    <w:rsid w:val="00CE5846"/>
    <w:rsid w:val="00CE5875"/>
    <w:rsid w:val="00CE61F2"/>
    <w:rsid w:val="00CE635B"/>
    <w:rsid w:val="00CE67E6"/>
    <w:rsid w:val="00CE68DD"/>
    <w:rsid w:val="00CE7030"/>
    <w:rsid w:val="00CE70B0"/>
    <w:rsid w:val="00CE70CE"/>
    <w:rsid w:val="00CF00A2"/>
    <w:rsid w:val="00CF0120"/>
    <w:rsid w:val="00CF0381"/>
    <w:rsid w:val="00CF04D8"/>
    <w:rsid w:val="00CF0607"/>
    <w:rsid w:val="00CF1516"/>
    <w:rsid w:val="00CF189C"/>
    <w:rsid w:val="00CF18F2"/>
    <w:rsid w:val="00CF1A28"/>
    <w:rsid w:val="00CF1A6F"/>
    <w:rsid w:val="00CF241E"/>
    <w:rsid w:val="00CF246D"/>
    <w:rsid w:val="00CF280B"/>
    <w:rsid w:val="00CF2DBB"/>
    <w:rsid w:val="00CF3097"/>
    <w:rsid w:val="00CF3CEA"/>
    <w:rsid w:val="00CF4062"/>
    <w:rsid w:val="00CF47C2"/>
    <w:rsid w:val="00CF4EFC"/>
    <w:rsid w:val="00CF5DE9"/>
    <w:rsid w:val="00CF5DF4"/>
    <w:rsid w:val="00CF6409"/>
    <w:rsid w:val="00CF6978"/>
    <w:rsid w:val="00CF6A02"/>
    <w:rsid w:val="00CF6BCE"/>
    <w:rsid w:val="00CF7874"/>
    <w:rsid w:val="00CF7AEA"/>
    <w:rsid w:val="00CF7F51"/>
    <w:rsid w:val="00D00023"/>
    <w:rsid w:val="00D0006D"/>
    <w:rsid w:val="00D0012F"/>
    <w:rsid w:val="00D011B9"/>
    <w:rsid w:val="00D0175E"/>
    <w:rsid w:val="00D01910"/>
    <w:rsid w:val="00D01DFA"/>
    <w:rsid w:val="00D01F05"/>
    <w:rsid w:val="00D02C4C"/>
    <w:rsid w:val="00D0327E"/>
    <w:rsid w:val="00D033FF"/>
    <w:rsid w:val="00D038CA"/>
    <w:rsid w:val="00D05519"/>
    <w:rsid w:val="00D057C0"/>
    <w:rsid w:val="00D05C01"/>
    <w:rsid w:val="00D05C60"/>
    <w:rsid w:val="00D067C0"/>
    <w:rsid w:val="00D06890"/>
    <w:rsid w:val="00D07F30"/>
    <w:rsid w:val="00D07F73"/>
    <w:rsid w:val="00D09F68"/>
    <w:rsid w:val="00D10282"/>
    <w:rsid w:val="00D10775"/>
    <w:rsid w:val="00D114E8"/>
    <w:rsid w:val="00D11FD5"/>
    <w:rsid w:val="00D1303D"/>
    <w:rsid w:val="00D1322F"/>
    <w:rsid w:val="00D132BE"/>
    <w:rsid w:val="00D1331A"/>
    <w:rsid w:val="00D1383C"/>
    <w:rsid w:val="00D13AC3"/>
    <w:rsid w:val="00D13B58"/>
    <w:rsid w:val="00D13C66"/>
    <w:rsid w:val="00D141FE"/>
    <w:rsid w:val="00D142E3"/>
    <w:rsid w:val="00D148A0"/>
    <w:rsid w:val="00D14A69"/>
    <w:rsid w:val="00D14EC2"/>
    <w:rsid w:val="00D15E29"/>
    <w:rsid w:val="00D16BF4"/>
    <w:rsid w:val="00D16F4C"/>
    <w:rsid w:val="00D17683"/>
    <w:rsid w:val="00D17AF6"/>
    <w:rsid w:val="00D208B4"/>
    <w:rsid w:val="00D21161"/>
    <w:rsid w:val="00D21162"/>
    <w:rsid w:val="00D21233"/>
    <w:rsid w:val="00D21312"/>
    <w:rsid w:val="00D21738"/>
    <w:rsid w:val="00D217DA"/>
    <w:rsid w:val="00D22194"/>
    <w:rsid w:val="00D2270F"/>
    <w:rsid w:val="00D2296C"/>
    <w:rsid w:val="00D22DF9"/>
    <w:rsid w:val="00D23945"/>
    <w:rsid w:val="00D23B5A"/>
    <w:rsid w:val="00D23BD3"/>
    <w:rsid w:val="00D23D89"/>
    <w:rsid w:val="00D24514"/>
    <w:rsid w:val="00D247B1"/>
    <w:rsid w:val="00D25C44"/>
    <w:rsid w:val="00D260C9"/>
    <w:rsid w:val="00D26459"/>
    <w:rsid w:val="00D26D72"/>
    <w:rsid w:val="00D26EA6"/>
    <w:rsid w:val="00D2794E"/>
    <w:rsid w:val="00D27E8B"/>
    <w:rsid w:val="00D30236"/>
    <w:rsid w:val="00D3039C"/>
    <w:rsid w:val="00D30779"/>
    <w:rsid w:val="00D31007"/>
    <w:rsid w:val="00D3183B"/>
    <w:rsid w:val="00D31A70"/>
    <w:rsid w:val="00D31D9B"/>
    <w:rsid w:val="00D31F40"/>
    <w:rsid w:val="00D321C9"/>
    <w:rsid w:val="00D323D1"/>
    <w:rsid w:val="00D3260C"/>
    <w:rsid w:val="00D3287B"/>
    <w:rsid w:val="00D32CC9"/>
    <w:rsid w:val="00D3369A"/>
    <w:rsid w:val="00D33A20"/>
    <w:rsid w:val="00D33F38"/>
    <w:rsid w:val="00D34144"/>
    <w:rsid w:val="00D3421D"/>
    <w:rsid w:val="00D34F3F"/>
    <w:rsid w:val="00D352D4"/>
    <w:rsid w:val="00D3570A"/>
    <w:rsid w:val="00D357EE"/>
    <w:rsid w:val="00D36028"/>
    <w:rsid w:val="00D366AD"/>
    <w:rsid w:val="00D370F2"/>
    <w:rsid w:val="00D37FC2"/>
    <w:rsid w:val="00D4024A"/>
    <w:rsid w:val="00D4090A"/>
    <w:rsid w:val="00D40C8A"/>
    <w:rsid w:val="00D411DF"/>
    <w:rsid w:val="00D41D14"/>
    <w:rsid w:val="00D421EC"/>
    <w:rsid w:val="00D423E2"/>
    <w:rsid w:val="00D424CA"/>
    <w:rsid w:val="00D424E2"/>
    <w:rsid w:val="00D42880"/>
    <w:rsid w:val="00D43795"/>
    <w:rsid w:val="00D441EF"/>
    <w:rsid w:val="00D44616"/>
    <w:rsid w:val="00D447F9"/>
    <w:rsid w:val="00D44CA0"/>
    <w:rsid w:val="00D451DF"/>
    <w:rsid w:val="00D45758"/>
    <w:rsid w:val="00D46892"/>
    <w:rsid w:val="00D4699E"/>
    <w:rsid w:val="00D46C8D"/>
    <w:rsid w:val="00D47000"/>
    <w:rsid w:val="00D47203"/>
    <w:rsid w:val="00D4798D"/>
    <w:rsid w:val="00D47D27"/>
    <w:rsid w:val="00D47E4F"/>
    <w:rsid w:val="00D500EF"/>
    <w:rsid w:val="00D50136"/>
    <w:rsid w:val="00D5059D"/>
    <w:rsid w:val="00D5089A"/>
    <w:rsid w:val="00D509DE"/>
    <w:rsid w:val="00D50B70"/>
    <w:rsid w:val="00D50C3C"/>
    <w:rsid w:val="00D50FAE"/>
    <w:rsid w:val="00D51612"/>
    <w:rsid w:val="00D51A60"/>
    <w:rsid w:val="00D52114"/>
    <w:rsid w:val="00D5259D"/>
    <w:rsid w:val="00D52E3B"/>
    <w:rsid w:val="00D53384"/>
    <w:rsid w:val="00D543EC"/>
    <w:rsid w:val="00D54986"/>
    <w:rsid w:val="00D54A7B"/>
    <w:rsid w:val="00D54B90"/>
    <w:rsid w:val="00D54BC3"/>
    <w:rsid w:val="00D558E9"/>
    <w:rsid w:val="00D55BDD"/>
    <w:rsid w:val="00D56A5C"/>
    <w:rsid w:val="00D56CCE"/>
    <w:rsid w:val="00D5725F"/>
    <w:rsid w:val="00D60174"/>
    <w:rsid w:val="00D601E5"/>
    <w:rsid w:val="00D602CE"/>
    <w:rsid w:val="00D603AE"/>
    <w:rsid w:val="00D60790"/>
    <w:rsid w:val="00D61B09"/>
    <w:rsid w:val="00D61FE7"/>
    <w:rsid w:val="00D6253A"/>
    <w:rsid w:val="00D628DC"/>
    <w:rsid w:val="00D63A7E"/>
    <w:rsid w:val="00D63EAF"/>
    <w:rsid w:val="00D64233"/>
    <w:rsid w:val="00D642B4"/>
    <w:rsid w:val="00D64811"/>
    <w:rsid w:val="00D648E1"/>
    <w:rsid w:val="00D64F5D"/>
    <w:rsid w:val="00D65484"/>
    <w:rsid w:val="00D656E6"/>
    <w:rsid w:val="00D65786"/>
    <w:rsid w:val="00D65A75"/>
    <w:rsid w:val="00D65BD4"/>
    <w:rsid w:val="00D66434"/>
    <w:rsid w:val="00D664BA"/>
    <w:rsid w:val="00D665C9"/>
    <w:rsid w:val="00D66610"/>
    <w:rsid w:val="00D667EB"/>
    <w:rsid w:val="00D7022E"/>
    <w:rsid w:val="00D712A0"/>
    <w:rsid w:val="00D713FD"/>
    <w:rsid w:val="00D71405"/>
    <w:rsid w:val="00D71F11"/>
    <w:rsid w:val="00D728FF"/>
    <w:rsid w:val="00D73048"/>
    <w:rsid w:val="00D736CF"/>
    <w:rsid w:val="00D7471D"/>
    <w:rsid w:val="00D74868"/>
    <w:rsid w:val="00D74A32"/>
    <w:rsid w:val="00D75155"/>
    <w:rsid w:val="00D756D6"/>
    <w:rsid w:val="00D760C1"/>
    <w:rsid w:val="00D7617C"/>
    <w:rsid w:val="00D762C5"/>
    <w:rsid w:val="00D76E9F"/>
    <w:rsid w:val="00D770B1"/>
    <w:rsid w:val="00D77805"/>
    <w:rsid w:val="00D77827"/>
    <w:rsid w:val="00D77F38"/>
    <w:rsid w:val="00D7CF42"/>
    <w:rsid w:val="00D80583"/>
    <w:rsid w:val="00D807FA"/>
    <w:rsid w:val="00D819E7"/>
    <w:rsid w:val="00D81FF0"/>
    <w:rsid w:val="00D820D4"/>
    <w:rsid w:val="00D8220A"/>
    <w:rsid w:val="00D82349"/>
    <w:rsid w:val="00D825C4"/>
    <w:rsid w:val="00D82D6D"/>
    <w:rsid w:val="00D83287"/>
    <w:rsid w:val="00D83473"/>
    <w:rsid w:val="00D83AB8"/>
    <w:rsid w:val="00D83C24"/>
    <w:rsid w:val="00D83DF5"/>
    <w:rsid w:val="00D84028"/>
    <w:rsid w:val="00D8419A"/>
    <w:rsid w:val="00D841D9"/>
    <w:rsid w:val="00D843D7"/>
    <w:rsid w:val="00D8471E"/>
    <w:rsid w:val="00D847DC"/>
    <w:rsid w:val="00D84DDC"/>
    <w:rsid w:val="00D85270"/>
    <w:rsid w:val="00D855D0"/>
    <w:rsid w:val="00D85B2A"/>
    <w:rsid w:val="00D866CD"/>
    <w:rsid w:val="00D86836"/>
    <w:rsid w:val="00D869E8"/>
    <w:rsid w:val="00D86A4B"/>
    <w:rsid w:val="00D86EEC"/>
    <w:rsid w:val="00D870B1"/>
    <w:rsid w:val="00D871CB"/>
    <w:rsid w:val="00D87287"/>
    <w:rsid w:val="00D878C0"/>
    <w:rsid w:val="00D878DA"/>
    <w:rsid w:val="00D87CCE"/>
    <w:rsid w:val="00D87D9B"/>
    <w:rsid w:val="00D909FE"/>
    <w:rsid w:val="00D90B8E"/>
    <w:rsid w:val="00D90E84"/>
    <w:rsid w:val="00D910A0"/>
    <w:rsid w:val="00D91585"/>
    <w:rsid w:val="00D91F25"/>
    <w:rsid w:val="00D9229B"/>
    <w:rsid w:val="00D9231C"/>
    <w:rsid w:val="00D929F6"/>
    <w:rsid w:val="00D92C32"/>
    <w:rsid w:val="00D92C5F"/>
    <w:rsid w:val="00D93120"/>
    <w:rsid w:val="00D93125"/>
    <w:rsid w:val="00D935C0"/>
    <w:rsid w:val="00D93703"/>
    <w:rsid w:val="00D93EE9"/>
    <w:rsid w:val="00D93F06"/>
    <w:rsid w:val="00D94086"/>
    <w:rsid w:val="00D943B8"/>
    <w:rsid w:val="00D9443E"/>
    <w:rsid w:val="00D946C5"/>
    <w:rsid w:val="00D94FA8"/>
    <w:rsid w:val="00D95A44"/>
    <w:rsid w:val="00D95EA6"/>
    <w:rsid w:val="00D95F30"/>
    <w:rsid w:val="00D96018"/>
    <w:rsid w:val="00D960D6"/>
    <w:rsid w:val="00D965F9"/>
    <w:rsid w:val="00D96F8E"/>
    <w:rsid w:val="00D97317"/>
    <w:rsid w:val="00D975B6"/>
    <w:rsid w:val="00D97819"/>
    <w:rsid w:val="00D978F9"/>
    <w:rsid w:val="00D97C93"/>
    <w:rsid w:val="00DA0288"/>
    <w:rsid w:val="00DA02DB"/>
    <w:rsid w:val="00DA071F"/>
    <w:rsid w:val="00DA0891"/>
    <w:rsid w:val="00DA0A26"/>
    <w:rsid w:val="00DA1557"/>
    <w:rsid w:val="00DA17E9"/>
    <w:rsid w:val="00DA1881"/>
    <w:rsid w:val="00DA1FB3"/>
    <w:rsid w:val="00DA2B0C"/>
    <w:rsid w:val="00DA3210"/>
    <w:rsid w:val="00DA445F"/>
    <w:rsid w:val="00DA45F5"/>
    <w:rsid w:val="00DA4D51"/>
    <w:rsid w:val="00DA542F"/>
    <w:rsid w:val="00DA5CD0"/>
    <w:rsid w:val="00DA6370"/>
    <w:rsid w:val="00DA641A"/>
    <w:rsid w:val="00DA6532"/>
    <w:rsid w:val="00DA65AD"/>
    <w:rsid w:val="00DA6B2B"/>
    <w:rsid w:val="00DA6F18"/>
    <w:rsid w:val="00DA70E0"/>
    <w:rsid w:val="00DAE8F5"/>
    <w:rsid w:val="00DB0017"/>
    <w:rsid w:val="00DB0063"/>
    <w:rsid w:val="00DB0ECB"/>
    <w:rsid w:val="00DB1309"/>
    <w:rsid w:val="00DB18F8"/>
    <w:rsid w:val="00DB2087"/>
    <w:rsid w:val="00DB2808"/>
    <w:rsid w:val="00DB32EF"/>
    <w:rsid w:val="00DB477B"/>
    <w:rsid w:val="00DB49F0"/>
    <w:rsid w:val="00DB4FAB"/>
    <w:rsid w:val="00DB518A"/>
    <w:rsid w:val="00DB5CFD"/>
    <w:rsid w:val="00DB604A"/>
    <w:rsid w:val="00DB6694"/>
    <w:rsid w:val="00DB6A8A"/>
    <w:rsid w:val="00DB6B2A"/>
    <w:rsid w:val="00DB74AA"/>
    <w:rsid w:val="00DB782D"/>
    <w:rsid w:val="00DC0592"/>
    <w:rsid w:val="00DC0C96"/>
    <w:rsid w:val="00DC1523"/>
    <w:rsid w:val="00DC19C5"/>
    <w:rsid w:val="00DC1D25"/>
    <w:rsid w:val="00DC2360"/>
    <w:rsid w:val="00DC2493"/>
    <w:rsid w:val="00DC2630"/>
    <w:rsid w:val="00DC2D2E"/>
    <w:rsid w:val="00DC2EBE"/>
    <w:rsid w:val="00DC2F24"/>
    <w:rsid w:val="00DC3312"/>
    <w:rsid w:val="00DC35F0"/>
    <w:rsid w:val="00DC35F6"/>
    <w:rsid w:val="00DC37AA"/>
    <w:rsid w:val="00DC3AFF"/>
    <w:rsid w:val="00DC4714"/>
    <w:rsid w:val="00DC4F97"/>
    <w:rsid w:val="00DC5E47"/>
    <w:rsid w:val="00DC66F1"/>
    <w:rsid w:val="00DC6ACA"/>
    <w:rsid w:val="00DC7F22"/>
    <w:rsid w:val="00DCF35C"/>
    <w:rsid w:val="00DD004D"/>
    <w:rsid w:val="00DD05AB"/>
    <w:rsid w:val="00DD07F1"/>
    <w:rsid w:val="00DD0A73"/>
    <w:rsid w:val="00DD13AD"/>
    <w:rsid w:val="00DD17A0"/>
    <w:rsid w:val="00DD1CC3"/>
    <w:rsid w:val="00DD1FC6"/>
    <w:rsid w:val="00DD2533"/>
    <w:rsid w:val="00DD275E"/>
    <w:rsid w:val="00DD2B6A"/>
    <w:rsid w:val="00DD2EA7"/>
    <w:rsid w:val="00DD2FB2"/>
    <w:rsid w:val="00DD2FE0"/>
    <w:rsid w:val="00DD3422"/>
    <w:rsid w:val="00DD354B"/>
    <w:rsid w:val="00DD3CFC"/>
    <w:rsid w:val="00DD4EAC"/>
    <w:rsid w:val="00DD56B7"/>
    <w:rsid w:val="00DD577A"/>
    <w:rsid w:val="00DD5ED1"/>
    <w:rsid w:val="00DD681A"/>
    <w:rsid w:val="00DD6EA8"/>
    <w:rsid w:val="00DD7BFE"/>
    <w:rsid w:val="00DD7C99"/>
    <w:rsid w:val="00DD7E08"/>
    <w:rsid w:val="00DE0162"/>
    <w:rsid w:val="00DE08BB"/>
    <w:rsid w:val="00DE0FD5"/>
    <w:rsid w:val="00DE123B"/>
    <w:rsid w:val="00DE1C60"/>
    <w:rsid w:val="00DE241A"/>
    <w:rsid w:val="00DE27FD"/>
    <w:rsid w:val="00DE283D"/>
    <w:rsid w:val="00DE2865"/>
    <w:rsid w:val="00DE2F6C"/>
    <w:rsid w:val="00DE35BE"/>
    <w:rsid w:val="00DE3C95"/>
    <w:rsid w:val="00DE3E73"/>
    <w:rsid w:val="00DE3FBB"/>
    <w:rsid w:val="00DE42BC"/>
    <w:rsid w:val="00DE4931"/>
    <w:rsid w:val="00DE512F"/>
    <w:rsid w:val="00DE579B"/>
    <w:rsid w:val="00DE605F"/>
    <w:rsid w:val="00DE6A5B"/>
    <w:rsid w:val="00DE735E"/>
    <w:rsid w:val="00DE7A24"/>
    <w:rsid w:val="00DE7C9C"/>
    <w:rsid w:val="00DE7E55"/>
    <w:rsid w:val="00DF03B4"/>
    <w:rsid w:val="00DF03EB"/>
    <w:rsid w:val="00DF0713"/>
    <w:rsid w:val="00DF0AF0"/>
    <w:rsid w:val="00DF0D5E"/>
    <w:rsid w:val="00DF1A24"/>
    <w:rsid w:val="00DF1C44"/>
    <w:rsid w:val="00DF1E18"/>
    <w:rsid w:val="00DF20A1"/>
    <w:rsid w:val="00DF21BC"/>
    <w:rsid w:val="00DF21DA"/>
    <w:rsid w:val="00DF22BD"/>
    <w:rsid w:val="00DF279F"/>
    <w:rsid w:val="00DF3762"/>
    <w:rsid w:val="00DF3E9F"/>
    <w:rsid w:val="00DF42CF"/>
    <w:rsid w:val="00DF44B5"/>
    <w:rsid w:val="00DF4887"/>
    <w:rsid w:val="00DF4AE9"/>
    <w:rsid w:val="00DF4E88"/>
    <w:rsid w:val="00DF669B"/>
    <w:rsid w:val="00DF7508"/>
    <w:rsid w:val="00DF756B"/>
    <w:rsid w:val="00DF788A"/>
    <w:rsid w:val="00DFE574"/>
    <w:rsid w:val="00E00031"/>
    <w:rsid w:val="00E0077E"/>
    <w:rsid w:val="00E00B1D"/>
    <w:rsid w:val="00E00C9F"/>
    <w:rsid w:val="00E00D35"/>
    <w:rsid w:val="00E00E6A"/>
    <w:rsid w:val="00E0133F"/>
    <w:rsid w:val="00E0139B"/>
    <w:rsid w:val="00E01722"/>
    <w:rsid w:val="00E01737"/>
    <w:rsid w:val="00E01D83"/>
    <w:rsid w:val="00E01F42"/>
    <w:rsid w:val="00E02106"/>
    <w:rsid w:val="00E028BF"/>
    <w:rsid w:val="00E02B93"/>
    <w:rsid w:val="00E03434"/>
    <w:rsid w:val="00E035C2"/>
    <w:rsid w:val="00E0382E"/>
    <w:rsid w:val="00E0414D"/>
    <w:rsid w:val="00E04566"/>
    <w:rsid w:val="00E046E2"/>
    <w:rsid w:val="00E04CD6"/>
    <w:rsid w:val="00E04E32"/>
    <w:rsid w:val="00E05A08"/>
    <w:rsid w:val="00E05A27"/>
    <w:rsid w:val="00E06060"/>
    <w:rsid w:val="00E06092"/>
    <w:rsid w:val="00E06BC1"/>
    <w:rsid w:val="00E06FA9"/>
    <w:rsid w:val="00E075B1"/>
    <w:rsid w:val="00E07915"/>
    <w:rsid w:val="00E07966"/>
    <w:rsid w:val="00E101C8"/>
    <w:rsid w:val="00E10AB6"/>
    <w:rsid w:val="00E113DC"/>
    <w:rsid w:val="00E1305D"/>
    <w:rsid w:val="00E1346E"/>
    <w:rsid w:val="00E13D7A"/>
    <w:rsid w:val="00E143C5"/>
    <w:rsid w:val="00E145A9"/>
    <w:rsid w:val="00E1469E"/>
    <w:rsid w:val="00E14706"/>
    <w:rsid w:val="00E15102"/>
    <w:rsid w:val="00E1523E"/>
    <w:rsid w:val="00E153C3"/>
    <w:rsid w:val="00E16A06"/>
    <w:rsid w:val="00E16CB9"/>
    <w:rsid w:val="00E17794"/>
    <w:rsid w:val="00E17DFD"/>
    <w:rsid w:val="00E1A4AC"/>
    <w:rsid w:val="00E2026C"/>
    <w:rsid w:val="00E21005"/>
    <w:rsid w:val="00E21197"/>
    <w:rsid w:val="00E21433"/>
    <w:rsid w:val="00E21443"/>
    <w:rsid w:val="00E21A2C"/>
    <w:rsid w:val="00E21E51"/>
    <w:rsid w:val="00E2208C"/>
    <w:rsid w:val="00E2250E"/>
    <w:rsid w:val="00E22565"/>
    <w:rsid w:val="00E23382"/>
    <w:rsid w:val="00E233F2"/>
    <w:rsid w:val="00E23569"/>
    <w:rsid w:val="00E237E1"/>
    <w:rsid w:val="00E23849"/>
    <w:rsid w:val="00E24480"/>
    <w:rsid w:val="00E24F96"/>
    <w:rsid w:val="00E250EA"/>
    <w:rsid w:val="00E25427"/>
    <w:rsid w:val="00E2599D"/>
    <w:rsid w:val="00E25C07"/>
    <w:rsid w:val="00E260C1"/>
    <w:rsid w:val="00E265DB"/>
    <w:rsid w:val="00E26C88"/>
    <w:rsid w:val="00E273BA"/>
    <w:rsid w:val="00E27FB4"/>
    <w:rsid w:val="00E2B39D"/>
    <w:rsid w:val="00E301DC"/>
    <w:rsid w:val="00E310D5"/>
    <w:rsid w:val="00E31289"/>
    <w:rsid w:val="00E31997"/>
    <w:rsid w:val="00E31BC9"/>
    <w:rsid w:val="00E33C28"/>
    <w:rsid w:val="00E33DF4"/>
    <w:rsid w:val="00E33F62"/>
    <w:rsid w:val="00E34288"/>
    <w:rsid w:val="00E345E1"/>
    <w:rsid w:val="00E34DA9"/>
    <w:rsid w:val="00E34F9A"/>
    <w:rsid w:val="00E350A9"/>
    <w:rsid w:val="00E356D2"/>
    <w:rsid w:val="00E35947"/>
    <w:rsid w:val="00E35D38"/>
    <w:rsid w:val="00E35EEC"/>
    <w:rsid w:val="00E36896"/>
    <w:rsid w:val="00E373E2"/>
    <w:rsid w:val="00E37671"/>
    <w:rsid w:val="00E37A99"/>
    <w:rsid w:val="00E4004B"/>
    <w:rsid w:val="00E4081F"/>
    <w:rsid w:val="00E408CA"/>
    <w:rsid w:val="00E40B08"/>
    <w:rsid w:val="00E418EB"/>
    <w:rsid w:val="00E41AD6"/>
    <w:rsid w:val="00E41C3F"/>
    <w:rsid w:val="00E41C95"/>
    <w:rsid w:val="00E42092"/>
    <w:rsid w:val="00E42199"/>
    <w:rsid w:val="00E426EC"/>
    <w:rsid w:val="00E42A1C"/>
    <w:rsid w:val="00E43373"/>
    <w:rsid w:val="00E4383F"/>
    <w:rsid w:val="00E43EB3"/>
    <w:rsid w:val="00E43FCD"/>
    <w:rsid w:val="00E4410F"/>
    <w:rsid w:val="00E44426"/>
    <w:rsid w:val="00E444D2"/>
    <w:rsid w:val="00E44A3A"/>
    <w:rsid w:val="00E44ACD"/>
    <w:rsid w:val="00E44D02"/>
    <w:rsid w:val="00E44D0A"/>
    <w:rsid w:val="00E452F0"/>
    <w:rsid w:val="00E457B0"/>
    <w:rsid w:val="00E45E53"/>
    <w:rsid w:val="00E46235"/>
    <w:rsid w:val="00E462AA"/>
    <w:rsid w:val="00E466A3"/>
    <w:rsid w:val="00E46AAE"/>
    <w:rsid w:val="00E46B63"/>
    <w:rsid w:val="00E46BDD"/>
    <w:rsid w:val="00E47431"/>
    <w:rsid w:val="00E47CDC"/>
    <w:rsid w:val="00E500EF"/>
    <w:rsid w:val="00E50193"/>
    <w:rsid w:val="00E50265"/>
    <w:rsid w:val="00E50728"/>
    <w:rsid w:val="00E50853"/>
    <w:rsid w:val="00E508D1"/>
    <w:rsid w:val="00E5118C"/>
    <w:rsid w:val="00E51756"/>
    <w:rsid w:val="00E51826"/>
    <w:rsid w:val="00E51BBC"/>
    <w:rsid w:val="00E52085"/>
    <w:rsid w:val="00E527DC"/>
    <w:rsid w:val="00E52D18"/>
    <w:rsid w:val="00E53560"/>
    <w:rsid w:val="00E53F63"/>
    <w:rsid w:val="00E544BF"/>
    <w:rsid w:val="00E547AA"/>
    <w:rsid w:val="00E54D23"/>
    <w:rsid w:val="00E55434"/>
    <w:rsid w:val="00E55618"/>
    <w:rsid w:val="00E5571F"/>
    <w:rsid w:val="00E55DBB"/>
    <w:rsid w:val="00E56425"/>
    <w:rsid w:val="00E570F2"/>
    <w:rsid w:val="00E57B55"/>
    <w:rsid w:val="00E5C635"/>
    <w:rsid w:val="00E609BF"/>
    <w:rsid w:val="00E60DBF"/>
    <w:rsid w:val="00E611DB"/>
    <w:rsid w:val="00E61443"/>
    <w:rsid w:val="00E617CD"/>
    <w:rsid w:val="00E619F6"/>
    <w:rsid w:val="00E61AF9"/>
    <w:rsid w:val="00E61C39"/>
    <w:rsid w:val="00E62238"/>
    <w:rsid w:val="00E629E5"/>
    <w:rsid w:val="00E62F7C"/>
    <w:rsid w:val="00E6357D"/>
    <w:rsid w:val="00E646B8"/>
    <w:rsid w:val="00E64AC2"/>
    <w:rsid w:val="00E64CC6"/>
    <w:rsid w:val="00E64F2E"/>
    <w:rsid w:val="00E654F6"/>
    <w:rsid w:val="00E655C8"/>
    <w:rsid w:val="00E656B3"/>
    <w:rsid w:val="00E65EED"/>
    <w:rsid w:val="00E66B72"/>
    <w:rsid w:val="00E67002"/>
    <w:rsid w:val="00E673AD"/>
    <w:rsid w:val="00E676C1"/>
    <w:rsid w:val="00E676CF"/>
    <w:rsid w:val="00E67E7F"/>
    <w:rsid w:val="00E70508"/>
    <w:rsid w:val="00E70866"/>
    <w:rsid w:val="00E71156"/>
    <w:rsid w:val="00E7118B"/>
    <w:rsid w:val="00E71387"/>
    <w:rsid w:val="00E7146A"/>
    <w:rsid w:val="00E71927"/>
    <w:rsid w:val="00E71B05"/>
    <w:rsid w:val="00E71E32"/>
    <w:rsid w:val="00E71FA4"/>
    <w:rsid w:val="00E73374"/>
    <w:rsid w:val="00E745E3"/>
    <w:rsid w:val="00E74716"/>
    <w:rsid w:val="00E74AE7"/>
    <w:rsid w:val="00E74B67"/>
    <w:rsid w:val="00E74F23"/>
    <w:rsid w:val="00E7512F"/>
    <w:rsid w:val="00E75503"/>
    <w:rsid w:val="00E756A2"/>
    <w:rsid w:val="00E75A11"/>
    <w:rsid w:val="00E75A6A"/>
    <w:rsid w:val="00E75C33"/>
    <w:rsid w:val="00E76480"/>
    <w:rsid w:val="00E765D1"/>
    <w:rsid w:val="00E76B59"/>
    <w:rsid w:val="00E76DBE"/>
    <w:rsid w:val="00E77AF9"/>
    <w:rsid w:val="00E801C8"/>
    <w:rsid w:val="00E801E2"/>
    <w:rsid w:val="00E805EE"/>
    <w:rsid w:val="00E80C36"/>
    <w:rsid w:val="00E81B50"/>
    <w:rsid w:val="00E81EF3"/>
    <w:rsid w:val="00E8245E"/>
    <w:rsid w:val="00E82A75"/>
    <w:rsid w:val="00E83500"/>
    <w:rsid w:val="00E842D4"/>
    <w:rsid w:val="00E84E78"/>
    <w:rsid w:val="00E85258"/>
    <w:rsid w:val="00E857C5"/>
    <w:rsid w:val="00E857FF"/>
    <w:rsid w:val="00E85ED3"/>
    <w:rsid w:val="00E8630B"/>
    <w:rsid w:val="00E8640D"/>
    <w:rsid w:val="00E86B4A"/>
    <w:rsid w:val="00E87258"/>
    <w:rsid w:val="00E879A7"/>
    <w:rsid w:val="00E87DCA"/>
    <w:rsid w:val="00E87EAB"/>
    <w:rsid w:val="00E87F7E"/>
    <w:rsid w:val="00E9074F"/>
    <w:rsid w:val="00E90816"/>
    <w:rsid w:val="00E90B63"/>
    <w:rsid w:val="00E912E8"/>
    <w:rsid w:val="00E913C5"/>
    <w:rsid w:val="00E9146E"/>
    <w:rsid w:val="00E91557"/>
    <w:rsid w:val="00E91599"/>
    <w:rsid w:val="00E91778"/>
    <w:rsid w:val="00E91F48"/>
    <w:rsid w:val="00E922C9"/>
    <w:rsid w:val="00E9279E"/>
    <w:rsid w:val="00E92EE0"/>
    <w:rsid w:val="00E9346A"/>
    <w:rsid w:val="00E9361A"/>
    <w:rsid w:val="00E93B52"/>
    <w:rsid w:val="00E93D77"/>
    <w:rsid w:val="00E941D5"/>
    <w:rsid w:val="00E94AD6"/>
    <w:rsid w:val="00E94B38"/>
    <w:rsid w:val="00E94DA0"/>
    <w:rsid w:val="00E95131"/>
    <w:rsid w:val="00E9541D"/>
    <w:rsid w:val="00E95577"/>
    <w:rsid w:val="00E955E4"/>
    <w:rsid w:val="00E95FBA"/>
    <w:rsid w:val="00E96AB6"/>
    <w:rsid w:val="00E97048"/>
    <w:rsid w:val="00E97758"/>
    <w:rsid w:val="00E97A83"/>
    <w:rsid w:val="00EA01F0"/>
    <w:rsid w:val="00EA02B1"/>
    <w:rsid w:val="00EA0AEC"/>
    <w:rsid w:val="00EA10C9"/>
    <w:rsid w:val="00EA1AE7"/>
    <w:rsid w:val="00EA1F70"/>
    <w:rsid w:val="00EA22C3"/>
    <w:rsid w:val="00EA2725"/>
    <w:rsid w:val="00EA2894"/>
    <w:rsid w:val="00EA3D48"/>
    <w:rsid w:val="00EA426C"/>
    <w:rsid w:val="00EA4567"/>
    <w:rsid w:val="00EA4C59"/>
    <w:rsid w:val="00EA5D28"/>
    <w:rsid w:val="00EA634C"/>
    <w:rsid w:val="00EA6A8C"/>
    <w:rsid w:val="00EA6BCC"/>
    <w:rsid w:val="00EA6DE6"/>
    <w:rsid w:val="00EA6F13"/>
    <w:rsid w:val="00EA6F3F"/>
    <w:rsid w:val="00EA77FB"/>
    <w:rsid w:val="00EA7898"/>
    <w:rsid w:val="00EA7B65"/>
    <w:rsid w:val="00EA7BFB"/>
    <w:rsid w:val="00EA7EC5"/>
    <w:rsid w:val="00EB0185"/>
    <w:rsid w:val="00EB0328"/>
    <w:rsid w:val="00EB1330"/>
    <w:rsid w:val="00EB140F"/>
    <w:rsid w:val="00EB15C0"/>
    <w:rsid w:val="00EB2878"/>
    <w:rsid w:val="00EB30F0"/>
    <w:rsid w:val="00EB3362"/>
    <w:rsid w:val="00EB3394"/>
    <w:rsid w:val="00EB3743"/>
    <w:rsid w:val="00EB37EF"/>
    <w:rsid w:val="00EB3BF9"/>
    <w:rsid w:val="00EB3FEA"/>
    <w:rsid w:val="00EB4560"/>
    <w:rsid w:val="00EB4595"/>
    <w:rsid w:val="00EB463F"/>
    <w:rsid w:val="00EB494C"/>
    <w:rsid w:val="00EB495F"/>
    <w:rsid w:val="00EB4ACF"/>
    <w:rsid w:val="00EB4E2F"/>
    <w:rsid w:val="00EB6152"/>
    <w:rsid w:val="00EB6241"/>
    <w:rsid w:val="00EB6714"/>
    <w:rsid w:val="00EB6F7B"/>
    <w:rsid w:val="00EB7515"/>
    <w:rsid w:val="00EB75F4"/>
    <w:rsid w:val="00EC0302"/>
    <w:rsid w:val="00EC068A"/>
    <w:rsid w:val="00EC1A8B"/>
    <w:rsid w:val="00EC1C9D"/>
    <w:rsid w:val="00EC1F72"/>
    <w:rsid w:val="00EC1FBF"/>
    <w:rsid w:val="00EC2307"/>
    <w:rsid w:val="00EC24D8"/>
    <w:rsid w:val="00EC2816"/>
    <w:rsid w:val="00EC2ACA"/>
    <w:rsid w:val="00EC30AF"/>
    <w:rsid w:val="00EC3248"/>
    <w:rsid w:val="00EC3251"/>
    <w:rsid w:val="00EC375A"/>
    <w:rsid w:val="00EC3A4D"/>
    <w:rsid w:val="00EC3D17"/>
    <w:rsid w:val="00EC416D"/>
    <w:rsid w:val="00EC42E6"/>
    <w:rsid w:val="00EC4867"/>
    <w:rsid w:val="00EC4D06"/>
    <w:rsid w:val="00EC5373"/>
    <w:rsid w:val="00EC5CD9"/>
    <w:rsid w:val="00EC5E2C"/>
    <w:rsid w:val="00EC6583"/>
    <w:rsid w:val="00EC6747"/>
    <w:rsid w:val="00EC6FB0"/>
    <w:rsid w:val="00EC72D7"/>
    <w:rsid w:val="00EC731A"/>
    <w:rsid w:val="00EC788C"/>
    <w:rsid w:val="00EC7B15"/>
    <w:rsid w:val="00EC7E3B"/>
    <w:rsid w:val="00ED0BAC"/>
    <w:rsid w:val="00ED125A"/>
    <w:rsid w:val="00ED1755"/>
    <w:rsid w:val="00ED1A31"/>
    <w:rsid w:val="00ED1ACC"/>
    <w:rsid w:val="00ED1BA5"/>
    <w:rsid w:val="00ED25D8"/>
    <w:rsid w:val="00ED2696"/>
    <w:rsid w:val="00ED3633"/>
    <w:rsid w:val="00ED4B68"/>
    <w:rsid w:val="00ED4FD0"/>
    <w:rsid w:val="00ED5971"/>
    <w:rsid w:val="00ED5CA8"/>
    <w:rsid w:val="00ED6871"/>
    <w:rsid w:val="00ED6955"/>
    <w:rsid w:val="00ED69C8"/>
    <w:rsid w:val="00ED6C0D"/>
    <w:rsid w:val="00ED7592"/>
    <w:rsid w:val="00ED7721"/>
    <w:rsid w:val="00ED7A30"/>
    <w:rsid w:val="00ED7A76"/>
    <w:rsid w:val="00ED7D3E"/>
    <w:rsid w:val="00EE05D1"/>
    <w:rsid w:val="00EE076D"/>
    <w:rsid w:val="00EE0923"/>
    <w:rsid w:val="00EE0E28"/>
    <w:rsid w:val="00EE1395"/>
    <w:rsid w:val="00EE1DC5"/>
    <w:rsid w:val="00EE23C0"/>
    <w:rsid w:val="00EE24A4"/>
    <w:rsid w:val="00EE28A6"/>
    <w:rsid w:val="00EE28FE"/>
    <w:rsid w:val="00EE3125"/>
    <w:rsid w:val="00EE37D3"/>
    <w:rsid w:val="00EE3ED9"/>
    <w:rsid w:val="00EE435D"/>
    <w:rsid w:val="00EE43C3"/>
    <w:rsid w:val="00EE5727"/>
    <w:rsid w:val="00EE57BA"/>
    <w:rsid w:val="00EE60E5"/>
    <w:rsid w:val="00EE64F0"/>
    <w:rsid w:val="00EE6579"/>
    <w:rsid w:val="00EE6875"/>
    <w:rsid w:val="00EE68C2"/>
    <w:rsid w:val="00EE691E"/>
    <w:rsid w:val="00EE69DB"/>
    <w:rsid w:val="00EE6A4D"/>
    <w:rsid w:val="00EE6C20"/>
    <w:rsid w:val="00EE7244"/>
    <w:rsid w:val="00EE72EF"/>
    <w:rsid w:val="00EE788D"/>
    <w:rsid w:val="00EE7C83"/>
    <w:rsid w:val="00EF0872"/>
    <w:rsid w:val="00EF1098"/>
    <w:rsid w:val="00EF129C"/>
    <w:rsid w:val="00EF1539"/>
    <w:rsid w:val="00EF163F"/>
    <w:rsid w:val="00EF2398"/>
    <w:rsid w:val="00EF2C59"/>
    <w:rsid w:val="00EF2C72"/>
    <w:rsid w:val="00EF2E5F"/>
    <w:rsid w:val="00EF3552"/>
    <w:rsid w:val="00EF38F4"/>
    <w:rsid w:val="00EF3C07"/>
    <w:rsid w:val="00EF3DCF"/>
    <w:rsid w:val="00EF3FA8"/>
    <w:rsid w:val="00EF40E0"/>
    <w:rsid w:val="00EF4271"/>
    <w:rsid w:val="00EF42AC"/>
    <w:rsid w:val="00EF4CAE"/>
    <w:rsid w:val="00EF502D"/>
    <w:rsid w:val="00EF54BD"/>
    <w:rsid w:val="00EF551F"/>
    <w:rsid w:val="00EF58EC"/>
    <w:rsid w:val="00EF58EE"/>
    <w:rsid w:val="00EF651F"/>
    <w:rsid w:val="00EF65FA"/>
    <w:rsid w:val="00EF69AB"/>
    <w:rsid w:val="00EF69B4"/>
    <w:rsid w:val="00EF6C69"/>
    <w:rsid w:val="00EF6D9C"/>
    <w:rsid w:val="00EF73F6"/>
    <w:rsid w:val="00EF743A"/>
    <w:rsid w:val="00EF74F9"/>
    <w:rsid w:val="00EF7820"/>
    <w:rsid w:val="00EF79FD"/>
    <w:rsid w:val="00EF7EB2"/>
    <w:rsid w:val="00EFD51A"/>
    <w:rsid w:val="00F00A73"/>
    <w:rsid w:val="00F00C14"/>
    <w:rsid w:val="00F00DDC"/>
    <w:rsid w:val="00F00F8A"/>
    <w:rsid w:val="00F0111C"/>
    <w:rsid w:val="00F01503"/>
    <w:rsid w:val="00F01A8C"/>
    <w:rsid w:val="00F01CC2"/>
    <w:rsid w:val="00F02072"/>
    <w:rsid w:val="00F02EB1"/>
    <w:rsid w:val="00F03395"/>
    <w:rsid w:val="00F03600"/>
    <w:rsid w:val="00F03A25"/>
    <w:rsid w:val="00F03B77"/>
    <w:rsid w:val="00F0449E"/>
    <w:rsid w:val="00F046A2"/>
    <w:rsid w:val="00F04BA4"/>
    <w:rsid w:val="00F05013"/>
    <w:rsid w:val="00F05A6A"/>
    <w:rsid w:val="00F061B9"/>
    <w:rsid w:val="00F061E6"/>
    <w:rsid w:val="00F06431"/>
    <w:rsid w:val="00F06C1D"/>
    <w:rsid w:val="00F06E98"/>
    <w:rsid w:val="00F06FC6"/>
    <w:rsid w:val="00F07328"/>
    <w:rsid w:val="00F076C7"/>
    <w:rsid w:val="00F077E7"/>
    <w:rsid w:val="00F079BA"/>
    <w:rsid w:val="00F1013B"/>
    <w:rsid w:val="00F1056E"/>
    <w:rsid w:val="00F121C3"/>
    <w:rsid w:val="00F13010"/>
    <w:rsid w:val="00F13512"/>
    <w:rsid w:val="00F1377B"/>
    <w:rsid w:val="00F142A6"/>
    <w:rsid w:val="00F14772"/>
    <w:rsid w:val="00F14A53"/>
    <w:rsid w:val="00F15BC9"/>
    <w:rsid w:val="00F15D28"/>
    <w:rsid w:val="00F1610A"/>
    <w:rsid w:val="00F164D4"/>
    <w:rsid w:val="00F167E6"/>
    <w:rsid w:val="00F1692D"/>
    <w:rsid w:val="00F16B86"/>
    <w:rsid w:val="00F16BEE"/>
    <w:rsid w:val="00F16C4B"/>
    <w:rsid w:val="00F16C95"/>
    <w:rsid w:val="00F16CE9"/>
    <w:rsid w:val="00F17908"/>
    <w:rsid w:val="00F17914"/>
    <w:rsid w:val="00F17FF3"/>
    <w:rsid w:val="00F20073"/>
    <w:rsid w:val="00F2011B"/>
    <w:rsid w:val="00F207C0"/>
    <w:rsid w:val="00F2091E"/>
    <w:rsid w:val="00F20A74"/>
    <w:rsid w:val="00F20ACC"/>
    <w:rsid w:val="00F20B6C"/>
    <w:rsid w:val="00F20D83"/>
    <w:rsid w:val="00F211E9"/>
    <w:rsid w:val="00F215EC"/>
    <w:rsid w:val="00F215F0"/>
    <w:rsid w:val="00F21C73"/>
    <w:rsid w:val="00F220BA"/>
    <w:rsid w:val="00F22342"/>
    <w:rsid w:val="00F22B3F"/>
    <w:rsid w:val="00F230AE"/>
    <w:rsid w:val="00F23542"/>
    <w:rsid w:val="00F23F4E"/>
    <w:rsid w:val="00F24202"/>
    <w:rsid w:val="00F24356"/>
    <w:rsid w:val="00F24566"/>
    <w:rsid w:val="00F245CA"/>
    <w:rsid w:val="00F247D1"/>
    <w:rsid w:val="00F253B8"/>
    <w:rsid w:val="00F254C7"/>
    <w:rsid w:val="00F255D3"/>
    <w:rsid w:val="00F258F5"/>
    <w:rsid w:val="00F25B6A"/>
    <w:rsid w:val="00F25D5E"/>
    <w:rsid w:val="00F25E11"/>
    <w:rsid w:val="00F26290"/>
    <w:rsid w:val="00F26FE1"/>
    <w:rsid w:val="00F300D2"/>
    <w:rsid w:val="00F3062E"/>
    <w:rsid w:val="00F30E62"/>
    <w:rsid w:val="00F311F4"/>
    <w:rsid w:val="00F3123A"/>
    <w:rsid w:val="00F314B8"/>
    <w:rsid w:val="00F31A70"/>
    <w:rsid w:val="00F31B6E"/>
    <w:rsid w:val="00F31C3C"/>
    <w:rsid w:val="00F31C7C"/>
    <w:rsid w:val="00F31F25"/>
    <w:rsid w:val="00F329D4"/>
    <w:rsid w:val="00F335DC"/>
    <w:rsid w:val="00F3370A"/>
    <w:rsid w:val="00F33A1B"/>
    <w:rsid w:val="00F33FFD"/>
    <w:rsid w:val="00F345BD"/>
    <w:rsid w:val="00F34E29"/>
    <w:rsid w:val="00F350A8"/>
    <w:rsid w:val="00F3511A"/>
    <w:rsid w:val="00F35A62"/>
    <w:rsid w:val="00F368F8"/>
    <w:rsid w:val="00F37D87"/>
    <w:rsid w:val="00F40136"/>
    <w:rsid w:val="00F402F9"/>
    <w:rsid w:val="00F41345"/>
    <w:rsid w:val="00F41765"/>
    <w:rsid w:val="00F41F17"/>
    <w:rsid w:val="00F41FCE"/>
    <w:rsid w:val="00F421D3"/>
    <w:rsid w:val="00F4237C"/>
    <w:rsid w:val="00F42D9C"/>
    <w:rsid w:val="00F4340C"/>
    <w:rsid w:val="00F4367A"/>
    <w:rsid w:val="00F43F36"/>
    <w:rsid w:val="00F4404A"/>
    <w:rsid w:val="00F44486"/>
    <w:rsid w:val="00F44E2B"/>
    <w:rsid w:val="00F44ED8"/>
    <w:rsid w:val="00F452A0"/>
    <w:rsid w:val="00F45F0F"/>
    <w:rsid w:val="00F462F8"/>
    <w:rsid w:val="00F46356"/>
    <w:rsid w:val="00F463F3"/>
    <w:rsid w:val="00F46CB7"/>
    <w:rsid w:val="00F46E29"/>
    <w:rsid w:val="00F47685"/>
    <w:rsid w:val="00F47950"/>
    <w:rsid w:val="00F47B17"/>
    <w:rsid w:val="00F47D2B"/>
    <w:rsid w:val="00F502C4"/>
    <w:rsid w:val="00F5076D"/>
    <w:rsid w:val="00F528C3"/>
    <w:rsid w:val="00F52B2C"/>
    <w:rsid w:val="00F53223"/>
    <w:rsid w:val="00F533D7"/>
    <w:rsid w:val="00F5350B"/>
    <w:rsid w:val="00F538CC"/>
    <w:rsid w:val="00F53A98"/>
    <w:rsid w:val="00F53CD5"/>
    <w:rsid w:val="00F53CE2"/>
    <w:rsid w:val="00F53D74"/>
    <w:rsid w:val="00F54958"/>
    <w:rsid w:val="00F54DD6"/>
    <w:rsid w:val="00F54E4B"/>
    <w:rsid w:val="00F55851"/>
    <w:rsid w:val="00F55A74"/>
    <w:rsid w:val="00F55C49"/>
    <w:rsid w:val="00F56CA8"/>
    <w:rsid w:val="00F573C2"/>
    <w:rsid w:val="00F5747D"/>
    <w:rsid w:val="00F57551"/>
    <w:rsid w:val="00F57769"/>
    <w:rsid w:val="00F57995"/>
    <w:rsid w:val="00F57D22"/>
    <w:rsid w:val="00F6001D"/>
    <w:rsid w:val="00F6019E"/>
    <w:rsid w:val="00F606CA"/>
    <w:rsid w:val="00F60D12"/>
    <w:rsid w:val="00F6126A"/>
    <w:rsid w:val="00F615A9"/>
    <w:rsid w:val="00F616AD"/>
    <w:rsid w:val="00F61A8F"/>
    <w:rsid w:val="00F61D1C"/>
    <w:rsid w:val="00F6224D"/>
    <w:rsid w:val="00F626A2"/>
    <w:rsid w:val="00F6284B"/>
    <w:rsid w:val="00F63487"/>
    <w:rsid w:val="00F635E6"/>
    <w:rsid w:val="00F636F4"/>
    <w:rsid w:val="00F63C4D"/>
    <w:rsid w:val="00F63D92"/>
    <w:rsid w:val="00F63E81"/>
    <w:rsid w:val="00F63FBF"/>
    <w:rsid w:val="00F6402D"/>
    <w:rsid w:val="00F641C4"/>
    <w:rsid w:val="00F641DA"/>
    <w:rsid w:val="00F645ED"/>
    <w:rsid w:val="00F646CA"/>
    <w:rsid w:val="00F64724"/>
    <w:rsid w:val="00F654F4"/>
    <w:rsid w:val="00F65589"/>
    <w:rsid w:val="00F65884"/>
    <w:rsid w:val="00F6659F"/>
    <w:rsid w:val="00F66974"/>
    <w:rsid w:val="00F66C1C"/>
    <w:rsid w:val="00F66C46"/>
    <w:rsid w:val="00F66D85"/>
    <w:rsid w:val="00F66F86"/>
    <w:rsid w:val="00F6769E"/>
    <w:rsid w:val="00F67A2C"/>
    <w:rsid w:val="00F67F17"/>
    <w:rsid w:val="00F7001E"/>
    <w:rsid w:val="00F70088"/>
    <w:rsid w:val="00F70150"/>
    <w:rsid w:val="00F702DC"/>
    <w:rsid w:val="00F70A79"/>
    <w:rsid w:val="00F71442"/>
    <w:rsid w:val="00F71927"/>
    <w:rsid w:val="00F71A57"/>
    <w:rsid w:val="00F71DA6"/>
    <w:rsid w:val="00F72227"/>
    <w:rsid w:val="00F72584"/>
    <w:rsid w:val="00F726AC"/>
    <w:rsid w:val="00F7298C"/>
    <w:rsid w:val="00F72BBF"/>
    <w:rsid w:val="00F72C41"/>
    <w:rsid w:val="00F72CCB"/>
    <w:rsid w:val="00F72D3A"/>
    <w:rsid w:val="00F72D3D"/>
    <w:rsid w:val="00F7351A"/>
    <w:rsid w:val="00F7377A"/>
    <w:rsid w:val="00F742A9"/>
    <w:rsid w:val="00F746CE"/>
    <w:rsid w:val="00F74748"/>
    <w:rsid w:val="00F74E23"/>
    <w:rsid w:val="00F74E7B"/>
    <w:rsid w:val="00F74FD0"/>
    <w:rsid w:val="00F75069"/>
    <w:rsid w:val="00F7549B"/>
    <w:rsid w:val="00F75598"/>
    <w:rsid w:val="00F75E51"/>
    <w:rsid w:val="00F76B61"/>
    <w:rsid w:val="00F76BF5"/>
    <w:rsid w:val="00F76C07"/>
    <w:rsid w:val="00F76CBA"/>
    <w:rsid w:val="00F76E9F"/>
    <w:rsid w:val="00F775E6"/>
    <w:rsid w:val="00F776B2"/>
    <w:rsid w:val="00F77B66"/>
    <w:rsid w:val="00F77EA0"/>
    <w:rsid w:val="00F7F65A"/>
    <w:rsid w:val="00F80279"/>
    <w:rsid w:val="00F80B77"/>
    <w:rsid w:val="00F80B85"/>
    <w:rsid w:val="00F80E37"/>
    <w:rsid w:val="00F810CE"/>
    <w:rsid w:val="00F810ED"/>
    <w:rsid w:val="00F81193"/>
    <w:rsid w:val="00F816C2"/>
    <w:rsid w:val="00F81726"/>
    <w:rsid w:val="00F81748"/>
    <w:rsid w:val="00F81BB5"/>
    <w:rsid w:val="00F8251E"/>
    <w:rsid w:val="00F82BBF"/>
    <w:rsid w:val="00F82C4D"/>
    <w:rsid w:val="00F82E9E"/>
    <w:rsid w:val="00F833BF"/>
    <w:rsid w:val="00F83581"/>
    <w:rsid w:val="00F8383D"/>
    <w:rsid w:val="00F84059"/>
    <w:rsid w:val="00F8495B"/>
    <w:rsid w:val="00F85288"/>
    <w:rsid w:val="00F87112"/>
    <w:rsid w:val="00F87497"/>
    <w:rsid w:val="00F878C6"/>
    <w:rsid w:val="00F87A0B"/>
    <w:rsid w:val="00F87AA0"/>
    <w:rsid w:val="00F87E0F"/>
    <w:rsid w:val="00F9010E"/>
    <w:rsid w:val="00F90123"/>
    <w:rsid w:val="00F9020B"/>
    <w:rsid w:val="00F9078A"/>
    <w:rsid w:val="00F908C4"/>
    <w:rsid w:val="00F90B0C"/>
    <w:rsid w:val="00F918BD"/>
    <w:rsid w:val="00F91BFB"/>
    <w:rsid w:val="00F91C6A"/>
    <w:rsid w:val="00F91C6B"/>
    <w:rsid w:val="00F91E06"/>
    <w:rsid w:val="00F91FDA"/>
    <w:rsid w:val="00F92776"/>
    <w:rsid w:val="00F92EBA"/>
    <w:rsid w:val="00F9371C"/>
    <w:rsid w:val="00F9462B"/>
    <w:rsid w:val="00F946BE"/>
    <w:rsid w:val="00F94707"/>
    <w:rsid w:val="00F94820"/>
    <w:rsid w:val="00F948E1"/>
    <w:rsid w:val="00F94CEC"/>
    <w:rsid w:val="00F952A4"/>
    <w:rsid w:val="00F95373"/>
    <w:rsid w:val="00F95537"/>
    <w:rsid w:val="00F960EC"/>
    <w:rsid w:val="00F96498"/>
    <w:rsid w:val="00F96D5D"/>
    <w:rsid w:val="00F9758A"/>
    <w:rsid w:val="00F97F9F"/>
    <w:rsid w:val="00F97FB9"/>
    <w:rsid w:val="00FA00E2"/>
    <w:rsid w:val="00FA04DB"/>
    <w:rsid w:val="00FA07AE"/>
    <w:rsid w:val="00FA0A80"/>
    <w:rsid w:val="00FA0EDA"/>
    <w:rsid w:val="00FA11E0"/>
    <w:rsid w:val="00FA155E"/>
    <w:rsid w:val="00FA287C"/>
    <w:rsid w:val="00FA2CFF"/>
    <w:rsid w:val="00FA2FF9"/>
    <w:rsid w:val="00FA3100"/>
    <w:rsid w:val="00FA3189"/>
    <w:rsid w:val="00FA36B7"/>
    <w:rsid w:val="00FA3A4E"/>
    <w:rsid w:val="00FA4385"/>
    <w:rsid w:val="00FA43CB"/>
    <w:rsid w:val="00FA5173"/>
    <w:rsid w:val="00FA5ABC"/>
    <w:rsid w:val="00FA65C9"/>
    <w:rsid w:val="00FA7198"/>
    <w:rsid w:val="00FA7258"/>
    <w:rsid w:val="00FA7EA6"/>
    <w:rsid w:val="00FA7FD1"/>
    <w:rsid w:val="00FB065B"/>
    <w:rsid w:val="00FB08E2"/>
    <w:rsid w:val="00FB14CD"/>
    <w:rsid w:val="00FB151C"/>
    <w:rsid w:val="00FB16DA"/>
    <w:rsid w:val="00FB17D0"/>
    <w:rsid w:val="00FB2477"/>
    <w:rsid w:val="00FB278C"/>
    <w:rsid w:val="00FB2D0E"/>
    <w:rsid w:val="00FB2F6D"/>
    <w:rsid w:val="00FB370E"/>
    <w:rsid w:val="00FB3804"/>
    <w:rsid w:val="00FB38CA"/>
    <w:rsid w:val="00FB5233"/>
    <w:rsid w:val="00FB5B6D"/>
    <w:rsid w:val="00FB5DF3"/>
    <w:rsid w:val="00FB5F25"/>
    <w:rsid w:val="00FB6D3C"/>
    <w:rsid w:val="00FB6F9C"/>
    <w:rsid w:val="00FB7002"/>
    <w:rsid w:val="00FB7581"/>
    <w:rsid w:val="00FB76C6"/>
    <w:rsid w:val="00FB7889"/>
    <w:rsid w:val="00FB7A1B"/>
    <w:rsid w:val="00FB7EA4"/>
    <w:rsid w:val="00FB7F3A"/>
    <w:rsid w:val="00FC02F0"/>
    <w:rsid w:val="00FC03CE"/>
    <w:rsid w:val="00FC0F71"/>
    <w:rsid w:val="00FC0FC2"/>
    <w:rsid w:val="00FC210B"/>
    <w:rsid w:val="00FC21AE"/>
    <w:rsid w:val="00FC21E3"/>
    <w:rsid w:val="00FC28DA"/>
    <w:rsid w:val="00FC2EC9"/>
    <w:rsid w:val="00FC35F9"/>
    <w:rsid w:val="00FC3A80"/>
    <w:rsid w:val="00FC4B1F"/>
    <w:rsid w:val="00FC5132"/>
    <w:rsid w:val="00FC5169"/>
    <w:rsid w:val="00FC562A"/>
    <w:rsid w:val="00FC6250"/>
    <w:rsid w:val="00FC62A7"/>
    <w:rsid w:val="00FC688C"/>
    <w:rsid w:val="00FC68D6"/>
    <w:rsid w:val="00FC6E6E"/>
    <w:rsid w:val="00FD0234"/>
    <w:rsid w:val="00FD0B1D"/>
    <w:rsid w:val="00FD0C53"/>
    <w:rsid w:val="00FD109E"/>
    <w:rsid w:val="00FD175C"/>
    <w:rsid w:val="00FD25CF"/>
    <w:rsid w:val="00FD2934"/>
    <w:rsid w:val="00FD359F"/>
    <w:rsid w:val="00FD3784"/>
    <w:rsid w:val="00FD3A21"/>
    <w:rsid w:val="00FD5271"/>
    <w:rsid w:val="00FD5726"/>
    <w:rsid w:val="00FD5758"/>
    <w:rsid w:val="00FD577D"/>
    <w:rsid w:val="00FD5CF6"/>
    <w:rsid w:val="00FD6640"/>
    <w:rsid w:val="00FD6C02"/>
    <w:rsid w:val="00FD7457"/>
    <w:rsid w:val="00FD768C"/>
    <w:rsid w:val="00FD7DC0"/>
    <w:rsid w:val="00FE0699"/>
    <w:rsid w:val="00FE0E9D"/>
    <w:rsid w:val="00FE12C5"/>
    <w:rsid w:val="00FE1718"/>
    <w:rsid w:val="00FE1742"/>
    <w:rsid w:val="00FE1A6C"/>
    <w:rsid w:val="00FE1CD8"/>
    <w:rsid w:val="00FE22B4"/>
    <w:rsid w:val="00FE279B"/>
    <w:rsid w:val="00FE28D3"/>
    <w:rsid w:val="00FE2B0D"/>
    <w:rsid w:val="00FE308E"/>
    <w:rsid w:val="00FE3115"/>
    <w:rsid w:val="00FE3714"/>
    <w:rsid w:val="00FE3CCD"/>
    <w:rsid w:val="00FE3DD3"/>
    <w:rsid w:val="00FE46D4"/>
    <w:rsid w:val="00FE47DF"/>
    <w:rsid w:val="00FE5703"/>
    <w:rsid w:val="00FE5DDF"/>
    <w:rsid w:val="00FE643B"/>
    <w:rsid w:val="00FE6851"/>
    <w:rsid w:val="00FE6922"/>
    <w:rsid w:val="00FE69A6"/>
    <w:rsid w:val="00FE6AC6"/>
    <w:rsid w:val="00FE7CC9"/>
    <w:rsid w:val="00FE7EB6"/>
    <w:rsid w:val="00FF0C91"/>
    <w:rsid w:val="00FF11A1"/>
    <w:rsid w:val="00FF16D8"/>
    <w:rsid w:val="00FF1C33"/>
    <w:rsid w:val="00FF27D2"/>
    <w:rsid w:val="00FF2A42"/>
    <w:rsid w:val="00FF3281"/>
    <w:rsid w:val="00FF3E07"/>
    <w:rsid w:val="00FF3FD1"/>
    <w:rsid w:val="00FF55DA"/>
    <w:rsid w:val="00FF56EE"/>
    <w:rsid w:val="00FF5730"/>
    <w:rsid w:val="00FF64EC"/>
    <w:rsid w:val="00FF68EF"/>
    <w:rsid w:val="00FF6B60"/>
    <w:rsid w:val="00FF6B9C"/>
    <w:rsid w:val="00FF70A7"/>
    <w:rsid w:val="010208E1"/>
    <w:rsid w:val="010542AA"/>
    <w:rsid w:val="010A6573"/>
    <w:rsid w:val="01116BE5"/>
    <w:rsid w:val="011D8A4A"/>
    <w:rsid w:val="0126A07E"/>
    <w:rsid w:val="01447CF1"/>
    <w:rsid w:val="014E2606"/>
    <w:rsid w:val="0152BA20"/>
    <w:rsid w:val="015795CF"/>
    <w:rsid w:val="015CCF8A"/>
    <w:rsid w:val="016EC1C4"/>
    <w:rsid w:val="016EFE84"/>
    <w:rsid w:val="0171A550"/>
    <w:rsid w:val="0172A7CC"/>
    <w:rsid w:val="01776529"/>
    <w:rsid w:val="0178436C"/>
    <w:rsid w:val="01825608"/>
    <w:rsid w:val="01855E25"/>
    <w:rsid w:val="018FD7F3"/>
    <w:rsid w:val="0197D90E"/>
    <w:rsid w:val="019B4570"/>
    <w:rsid w:val="01B1EB61"/>
    <w:rsid w:val="01B2B059"/>
    <w:rsid w:val="01B2EEFE"/>
    <w:rsid w:val="01C036EE"/>
    <w:rsid w:val="01E5233B"/>
    <w:rsid w:val="01E93405"/>
    <w:rsid w:val="01F68936"/>
    <w:rsid w:val="02033B0C"/>
    <w:rsid w:val="020413E1"/>
    <w:rsid w:val="02058A2F"/>
    <w:rsid w:val="021D699B"/>
    <w:rsid w:val="022170C8"/>
    <w:rsid w:val="0228E490"/>
    <w:rsid w:val="022E7A4D"/>
    <w:rsid w:val="02370388"/>
    <w:rsid w:val="023BA048"/>
    <w:rsid w:val="0252C461"/>
    <w:rsid w:val="025612E1"/>
    <w:rsid w:val="025E750D"/>
    <w:rsid w:val="0266AC27"/>
    <w:rsid w:val="02793CDC"/>
    <w:rsid w:val="02862E8F"/>
    <w:rsid w:val="028B49F7"/>
    <w:rsid w:val="028CEAFF"/>
    <w:rsid w:val="029502AA"/>
    <w:rsid w:val="02988450"/>
    <w:rsid w:val="02A5F1F4"/>
    <w:rsid w:val="02A670E0"/>
    <w:rsid w:val="02A8C1E7"/>
    <w:rsid w:val="02AB0C4D"/>
    <w:rsid w:val="02AE8365"/>
    <w:rsid w:val="02D02405"/>
    <w:rsid w:val="02D7CED1"/>
    <w:rsid w:val="02DE3DCE"/>
    <w:rsid w:val="02E34730"/>
    <w:rsid w:val="02E5C49C"/>
    <w:rsid w:val="02F6ED40"/>
    <w:rsid w:val="0305AF3C"/>
    <w:rsid w:val="030C63DF"/>
    <w:rsid w:val="030E15CD"/>
    <w:rsid w:val="03294277"/>
    <w:rsid w:val="0338325E"/>
    <w:rsid w:val="0338F85F"/>
    <w:rsid w:val="033EF17E"/>
    <w:rsid w:val="033F0479"/>
    <w:rsid w:val="03487A7E"/>
    <w:rsid w:val="035058EA"/>
    <w:rsid w:val="0362011B"/>
    <w:rsid w:val="0367A8A7"/>
    <w:rsid w:val="037409AC"/>
    <w:rsid w:val="0375FACA"/>
    <w:rsid w:val="037AF8E5"/>
    <w:rsid w:val="037E90D8"/>
    <w:rsid w:val="037E9C3D"/>
    <w:rsid w:val="0381B9F2"/>
    <w:rsid w:val="0387412A"/>
    <w:rsid w:val="03876689"/>
    <w:rsid w:val="038CF535"/>
    <w:rsid w:val="03903564"/>
    <w:rsid w:val="0399A2DF"/>
    <w:rsid w:val="039A0EBE"/>
    <w:rsid w:val="039A6AB3"/>
    <w:rsid w:val="03A1AEA7"/>
    <w:rsid w:val="03A24267"/>
    <w:rsid w:val="03A4E099"/>
    <w:rsid w:val="03AB2C87"/>
    <w:rsid w:val="03B76C8C"/>
    <w:rsid w:val="03C82770"/>
    <w:rsid w:val="03D12EF5"/>
    <w:rsid w:val="03D4A8E9"/>
    <w:rsid w:val="03D57E85"/>
    <w:rsid w:val="03D5E4A1"/>
    <w:rsid w:val="03D86915"/>
    <w:rsid w:val="03DBC405"/>
    <w:rsid w:val="03DDE0CB"/>
    <w:rsid w:val="03E25F63"/>
    <w:rsid w:val="03EBB5D7"/>
    <w:rsid w:val="0400634E"/>
    <w:rsid w:val="0410CC8C"/>
    <w:rsid w:val="04116FAA"/>
    <w:rsid w:val="041B24A5"/>
    <w:rsid w:val="0429D365"/>
    <w:rsid w:val="04413C44"/>
    <w:rsid w:val="04468354"/>
    <w:rsid w:val="045982E0"/>
    <w:rsid w:val="045A190D"/>
    <w:rsid w:val="04609339"/>
    <w:rsid w:val="04629FCF"/>
    <w:rsid w:val="0478FBD5"/>
    <w:rsid w:val="047959BE"/>
    <w:rsid w:val="0481EE0D"/>
    <w:rsid w:val="04844E97"/>
    <w:rsid w:val="0495EA77"/>
    <w:rsid w:val="049BFE25"/>
    <w:rsid w:val="04A901C5"/>
    <w:rsid w:val="04AF3504"/>
    <w:rsid w:val="04B1D374"/>
    <w:rsid w:val="04B849F3"/>
    <w:rsid w:val="04CCB888"/>
    <w:rsid w:val="04D5D53D"/>
    <w:rsid w:val="04E0AEC9"/>
    <w:rsid w:val="04E0D7E3"/>
    <w:rsid w:val="04E7CC38"/>
    <w:rsid w:val="04FCC695"/>
    <w:rsid w:val="04FE844F"/>
    <w:rsid w:val="0502A779"/>
    <w:rsid w:val="05061483"/>
    <w:rsid w:val="05081993"/>
    <w:rsid w:val="0524FC4A"/>
    <w:rsid w:val="05273DAA"/>
    <w:rsid w:val="052E20DD"/>
    <w:rsid w:val="05347160"/>
    <w:rsid w:val="054C139B"/>
    <w:rsid w:val="054EA4B0"/>
    <w:rsid w:val="055C3CEB"/>
    <w:rsid w:val="05699F05"/>
    <w:rsid w:val="05794215"/>
    <w:rsid w:val="057DC097"/>
    <w:rsid w:val="05944C24"/>
    <w:rsid w:val="059C8468"/>
    <w:rsid w:val="059CCA23"/>
    <w:rsid w:val="059DFE09"/>
    <w:rsid w:val="05A37631"/>
    <w:rsid w:val="05B576AF"/>
    <w:rsid w:val="05BFD1BB"/>
    <w:rsid w:val="05CABB85"/>
    <w:rsid w:val="05D36546"/>
    <w:rsid w:val="05DA3C02"/>
    <w:rsid w:val="05DD588F"/>
    <w:rsid w:val="05E4DD08"/>
    <w:rsid w:val="05EB8D91"/>
    <w:rsid w:val="05EE7C07"/>
    <w:rsid w:val="05EFCD1B"/>
    <w:rsid w:val="06126BE9"/>
    <w:rsid w:val="0615DE90"/>
    <w:rsid w:val="06165354"/>
    <w:rsid w:val="061B2A96"/>
    <w:rsid w:val="0630476B"/>
    <w:rsid w:val="06384B3F"/>
    <w:rsid w:val="063E7C2D"/>
    <w:rsid w:val="06435292"/>
    <w:rsid w:val="064A6094"/>
    <w:rsid w:val="065643A3"/>
    <w:rsid w:val="06610414"/>
    <w:rsid w:val="06612928"/>
    <w:rsid w:val="06626A0B"/>
    <w:rsid w:val="066B581B"/>
    <w:rsid w:val="066D5DB6"/>
    <w:rsid w:val="067AC170"/>
    <w:rsid w:val="067FA785"/>
    <w:rsid w:val="06801B56"/>
    <w:rsid w:val="068903BE"/>
    <w:rsid w:val="06993F67"/>
    <w:rsid w:val="06A7005E"/>
    <w:rsid w:val="06B2C871"/>
    <w:rsid w:val="06B78A18"/>
    <w:rsid w:val="06B7C9FB"/>
    <w:rsid w:val="06B7F973"/>
    <w:rsid w:val="06B99687"/>
    <w:rsid w:val="06C30E0B"/>
    <w:rsid w:val="06C461B9"/>
    <w:rsid w:val="06C524E4"/>
    <w:rsid w:val="06CA9EFE"/>
    <w:rsid w:val="06D7A2A2"/>
    <w:rsid w:val="06DCF3DA"/>
    <w:rsid w:val="06E012AD"/>
    <w:rsid w:val="06E939AE"/>
    <w:rsid w:val="06F3EFEB"/>
    <w:rsid w:val="0701888F"/>
    <w:rsid w:val="07022C50"/>
    <w:rsid w:val="07086F28"/>
    <w:rsid w:val="070ACBA1"/>
    <w:rsid w:val="0717B8FE"/>
    <w:rsid w:val="071B0717"/>
    <w:rsid w:val="0729CEB7"/>
    <w:rsid w:val="0738CD6B"/>
    <w:rsid w:val="0742E963"/>
    <w:rsid w:val="07436E0C"/>
    <w:rsid w:val="07439665"/>
    <w:rsid w:val="07458A5D"/>
    <w:rsid w:val="07515626"/>
    <w:rsid w:val="0752F9A9"/>
    <w:rsid w:val="07569F03"/>
    <w:rsid w:val="075998E1"/>
    <w:rsid w:val="075C288A"/>
    <w:rsid w:val="075F3136"/>
    <w:rsid w:val="07656521"/>
    <w:rsid w:val="076678E3"/>
    <w:rsid w:val="076B75D1"/>
    <w:rsid w:val="077B5A7A"/>
    <w:rsid w:val="0788056F"/>
    <w:rsid w:val="078B00D8"/>
    <w:rsid w:val="078CC2A3"/>
    <w:rsid w:val="079024CE"/>
    <w:rsid w:val="0795005B"/>
    <w:rsid w:val="07B1AEF1"/>
    <w:rsid w:val="07C22A3B"/>
    <w:rsid w:val="07CBB4C4"/>
    <w:rsid w:val="07CF90CF"/>
    <w:rsid w:val="07D07E49"/>
    <w:rsid w:val="07D2CEAC"/>
    <w:rsid w:val="07D5129C"/>
    <w:rsid w:val="07D689CB"/>
    <w:rsid w:val="07D982C7"/>
    <w:rsid w:val="07EF3D43"/>
    <w:rsid w:val="07F1F9EA"/>
    <w:rsid w:val="07F24506"/>
    <w:rsid w:val="07F6B8AB"/>
    <w:rsid w:val="08145763"/>
    <w:rsid w:val="08157401"/>
    <w:rsid w:val="0816E1A8"/>
    <w:rsid w:val="0819ED62"/>
    <w:rsid w:val="081ABC21"/>
    <w:rsid w:val="081FDFA4"/>
    <w:rsid w:val="0821ED4C"/>
    <w:rsid w:val="0825A709"/>
    <w:rsid w:val="0826C5F5"/>
    <w:rsid w:val="082AE641"/>
    <w:rsid w:val="0830FB6D"/>
    <w:rsid w:val="08352ACE"/>
    <w:rsid w:val="083F04F8"/>
    <w:rsid w:val="08483FE4"/>
    <w:rsid w:val="08541E26"/>
    <w:rsid w:val="0856A702"/>
    <w:rsid w:val="085DC0C6"/>
    <w:rsid w:val="0861A9E5"/>
    <w:rsid w:val="08782AA7"/>
    <w:rsid w:val="087CE304"/>
    <w:rsid w:val="08807A58"/>
    <w:rsid w:val="089A4EA9"/>
    <w:rsid w:val="089CFD78"/>
    <w:rsid w:val="089DAF88"/>
    <w:rsid w:val="08A6789B"/>
    <w:rsid w:val="08B58B5C"/>
    <w:rsid w:val="08BFCE7D"/>
    <w:rsid w:val="08CE6242"/>
    <w:rsid w:val="08D17004"/>
    <w:rsid w:val="08D2B59D"/>
    <w:rsid w:val="08D46994"/>
    <w:rsid w:val="08D61961"/>
    <w:rsid w:val="08DD4FB5"/>
    <w:rsid w:val="08DDC069"/>
    <w:rsid w:val="08E833B0"/>
    <w:rsid w:val="08F3E57D"/>
    <w:rsid w:val="08F5353D"/>
    <w:rsid w:val="0905C595"/>
    <w:rsid w:val="0910E088"/>
    <w:rsid w:val="09110B70"/>
    <w:rsid w:val="09190E6C"/>
    <w:rsid w:val="0923536E"/>
    <w:rsid w:val="09242851"/>
    <w:rsid w:val="0926B9EB"/>
    <w:rsid w:val="09343920"/>
    <w:rsid w:val="0934A1FE"/>
    <w:rsid w:val="0938B0A2"/>
    <w:rsid w:val="093A5BD4"/>
    <w:rsid w:val="093CA08B"/>
    <w:rsid w:val="093D7657"/>
    <w:rsid w:val="094A260C"/>
    <w:rsid w:val="09514F86"/>
    <w:rsid w:val="09566883"/>
    <w:rsid w:val="095696F6"/>
    <w:rsid w:val="096B094F"/>
    <w:rsid w:val="096F835B"/>
    <w:rsid w:val="09713D21"/>
    <w:rsid w:val="0980F733"/>
    <w:rsid w:val="098336E0"/>
    <w:rsid w:val="099E5534"/>
    <w:rsid w:val="09B118F3"/>
    <w:rsid w:val="09B874B2"/>
    <w:rsid w:val="09C031FA"/>
    <w:rsid w:val="09CF6527"/>
    <w:rsid w:val="09D74751"/>
    <w:rsid w:val="09DD0DE9"/>
    <w:rsid w:val="09E89A16"/>
    <w:rsid w:val="09EB395B"/>
    <w:rsid w:val="09F7C443"/>
    <w:rsid w:val="09FCEC92"/>
    <w:rsid w:val="0A0F0399"/>
    <w:rsid w:val="0A10622D"/>
    <w:rsid w:val="0A26A45A"/>
    <w:rsid w:val="0A366B89"/>
    <w:rsid w:val="0A387D19"/>
    <w:rsid w:val="0A398E14"/>
    <w:rsid w:val="0A40340E"/>
    <w:rsid w:val="0A41BBA0"/>
    <w:rsid w:val="0A466360"/>
    <w:rsid w:val="0A6AF95A"/>
    <w:rsid w:val="0A6EF909"/>
    <w:rsid w:val="0A71C640"/>
    <w:rsid w:val="0A771190"/>
    <w:rsid w:val="0A779742"/>
    <w:rsid w:val="0A87EC82"/>
    <w:rsid w:val="0A8ACBC0"/>
    <w:rsid w:val="0A93D33B"/>
    <w:rsid w:val="0AA21EBC"/>
    <w:rsid w:val="0AA39ED5"/>
    <w:rsid w:val="0AB73C5E"/>
    <w:rsid w:val="0AB9B367"/>
    <w:rsid w:val="0AD97BF2"/>
    <w:rsid w:val="0AE89A85"/>
    <w:rsid w:val="0AEB42E3"/>
    <w:rsid w:val="0AEDDAF2"/>
    <w:rsid w:val="0B0C421E"/>
    <w:rsid w:val="0B10D2C2"/>
    <w:rsid w:val="0B2A3B96"/>
    <w:rsid w:val="0B38174C"/>
    <w:rsid w:val="0B3C450B"/>
    <w:rsid w:val="0B41D22B"/>
    <w:rsid w:val="0B4FE774"/>
    <w:rsid w:val="0B65C160"/>
    <w:rsid w:val="0B69E184"/>
    <w:rsid w:val="0B6FADC6"/>
    <w:rsid w:val="0B6FEAF4"/>
    <w:rsid w:val="0B7413A2"/>
    <w:rsid w:val="0B86508C"/>
    <w:rsid w:val="0B87FC46"/>
    <w:rsid w:val="0B8BBDD3"/>
    <w:rsid w:val="0B959AF5"/>
    <w:rsid w:val="0BA2670F"/>
    <w:rsid w:val="0BB744BE"/>
    <w:rsid w:val="0BBABF35"/>
    <w:rsid w:val="0BC270B2"/>
    <w:rsid w:val="0BC285AF"/>
    <w:rsid w:val="0BCEFD3D"/>
    <w:rsid w:val="0BD07FCA"/>
    <w:rsid w:val="0BD2695D"/>
    <w:rsid w:val="0BD85446"/>
    <w:rsid w:val="0BE0CA8E"/>
    <w:rsid w:val="0BE60B19"/>
    <w:rsid w:val="0BE89CD0"/>
    <w:rsid w:val="0BEEFCEC"/>
    <w:rsid w:val="0BF00D34"/>
    <w:rsid w:val="0C0D734F"/>
    <w:rsid w:val="0C1A3272"/>
    <w:rsid w:val="0C1F42BC"/>
    <w:rsid w:val="0C2CBAF5"/>
    <w:rsid w:val="0C437BEC"/>
    <w:rsid w:val="0C62B791"/>
    <w:rsid w:val="0C7937AC"/>
    <w:rsid w:val="0C84B6C1"/>
    <w:rsid w:val="0C8FA0C0"/>
    <w:rsid w:val="0C9163EB"/>
    <w:rsid w:val="0C93BB9E"/>
    <w:rsid w:val="0C9FF464"/>
    <w:rsid w:val="0CBD52E2"/>
    <w:rsid w:val="0CBE3E29"/>
    <w:rsid w:val="0CC02499"/>
    <w:rsid w:val="0CC37EC5"/>
    <w:rsid w:val="0CCC1374"/>
    <w:rsid w:val="0CDAB725"/>
    <w:rsid w:val="0CE9D562"/>
    <w:rsid w:val="0CF503EC"/>
    <w:rsid w:val="0CFE53D1"/>
    <w:rsid w:val="0D0191C1"/>
    <w:rsid w:val="0D06857D"/>
    <w:rsid w:val="0D0C7C5E"/>
    <w:rsid w:val="0D0E8721"/>
    <w:rsid w:val="0D1BF7E6"/>
    <w:rsid w:val="0D23CCA7"/>
    <w:rsid w:val="0D2FA32B"/>
    <w:rsid w:val="0D3041DD"/>
    <w:rsid w:val="0D3BDF61"/>
    <w:rsid w:val="0D439490"/>
    <w:rsid w:val="0D584640"/>
    <w:rsid w:val="0D618127"/>
    <w:rsid w:val="0D64B0D3"/>
    <w:rsid w:val="0D6A3497"/>
    <w:rsid w:val="0D73C089"/>
    <w:rsid w:val="0D76A05A"/>
    <w:rsid w:val="0D79B57F"/>
    <w:rsid w:val="0D8593B0"/>
    <w:rsid w:val="0D87402E"/>
    <w:rsid w:val="0D8A9811"/>
    <w:rsid w:val="0D918A09"/>
    <w:rsid w:val="0D9DCD4F"/>
    <w:rsid w:val="0DB2DB99"/>
    <w:rsid w:val="0DB57A6D"/>
    <w:rsid w:val="0DB6A896"/>
    <w:rsid w:val="0DBAA2FC"/>
    <w:rsid w:val="0DBCED64"/>
    <w:rsid w:val="0DBCFB39"/>
    <w:rsid w:val="0DC26C82"/>
    <w:rsid w:val="0DC7B86A"/>
    <w:rsid w:val="0DF8E657"/>
    <w:rsid w:val="0DF998C6"/>
    <w:rsid w:val="0DFD27DA"/>
    <w:rsid w:val="0E00FFCA"/>
    <w:rsid w:val="0E18B416"/>
    <w:rsid w:val="0E2132BB"/>
    <w:rsid w:val="0E222164"/>
    <w:rsid w:val="0E259913"/>
    <w:rsid w:val="0E26009F"/>
    <w:rsid w:val="0E31CCF2"/>
    <w:rsid w:val="0E346EEC"/>
    <w:rsid w:val="0E398F82"/>
    <w:rsid w:val="0E3CC780"/>
    <w:rsid w:val="0E3E6A9E"/>
    <w:rsid w:val="0E4079E3"/>
    <w:rsid w:val="0E417BA8"/>
    <w:rsid w:val="0E418B77"/>
    <w:rsid w:val="0E47F0E0"/>
    <w:rsid w:val="0E4CDA43"/>
    <w:rsid w:val="0E5DBADC"/>
    <w:rsid w:val="0E65876F"/>
    <w:rsid w:val="0E6FC893"/>
    <w:rsid w:val="0E786952"/>
    <w:rsid w:val="0E87B545"/>
    <w:rsid w:val="0E8A6C21"/>
    <w:rsid w:val="0E8E39D1"/>
    <w:rsid w:val="0E8E7B64"/>
    <w:rsid w:val="0EA05940"/>
    <w:rsid w:val="0EA53119"/>
    <w:rsid w:val="0EA596BE"/>
    <w:rsid w:val="0EA5BF1A"/>
    <w:rsid w:val="0EA6613F"/>
    <w:rsid w:val="0EB38994"/>
    <w:rsid w:val="0EB52512"/>
    <w:rsid w:val="0EB5836A"/>
    <w:rsid w:val="0EC47DDD"/>
    <w:rsid w:val="0EC5DF3A"/>
    <w:rsid w:val="0EC91164"/>
    <w:rsid w:val="0EED3173"/>
    <w:rsid w:val="0EF33A25"/>
    <w:rsid w:val="0EFC56FB"/>
    <w:rsid w:val="0EFF5959"/>
    <w:rsid w:val="0F099237"/>
    <w:rsid w:val="0F12D387"/>
    <w:rsid w:val="0F14178C"/>
    <w:rsid w:val="0F3DBB2A"/>
    <w:rsid w:val="0F44B52C"/>
    <w:rsid w:val="0F54CC8D"/>
    <w:rsid w:val="0F557687"/>
    <w:rsid w:val="0F56E864"/>
    <w:rsid w:val="0F5864C0"/>
    <w:rsid w:val="0F5933AB"/>
    <w:rsid w:val="0F5C53E0"/>
    <w:rsid w:val="0F5F7DD8"/>
    <w:rsid w:val="0F61E9C0"/>
    <w:rsid w:val="0F68E479"/>
    <w:rsid w:val="0F7A4C6B"/>
    <w:rsid w:val="0F7E7C75"/>
    <w:rsid w:val="0F7E8C05"/>
    <w:rsid w:val="0F9465EB"/>
    <w:rsid w:val="0F9568D0"/>
    <w:rsid w:val="0F9D14ED"/>
    <w:rsid w:val="0FA065F2"/>
    <w:rsid w:val="0FAFED30"/>
    <w:rsid w:val="0FCAF84D"/>
    <w:rsid w:val="0FCD48DB"/>
    <w:rsid w:val="0FE42EB2"/>
    <w:rsid w:val="0FE567C5"/>
    <w:rsid w:val="0FE7998B"/>
    <w:rsid w:val="0FE960DC"/>
    <w:rsid w:val="0FEEE237"/>
    <w:rsid w:val="0FFAEE89"/>
    <w:rsid w:val="0FFB35F4"/>
    <w:rsid w:val="0FFD6EB4"/>
    <w:rsid w:val="1027F35A"/>
    <w:rsid w:val="1029DB9D"/>
    <w:rsid w:val="102B9AFC"/>
    <w:rsid w:val="10385248"/>
    <w:rsid w:val="103B682A"/>
    <w:rsid w:val="1055EFE3"/>
    <w:rsid w:val="105F5927"/>
    <w:rsid w:val="1061E68C"/>
    <w:rsid w:val="106E1489"/>
    <w:rsid w:val="1070BC4C"/>
    <w:rsid w:val="107CBEFA"/>
    <w:rsid w:val="1083C91D"/>
    <w:rsid w:val="109064A6"/>
    <w:rsid w:val="10A02BE0"/>
    <w:rsid w:val="10A6F231"/>
    <w:rsid w:val="10A8A9A8"/>
    <w:rsid w:val="10AABD46"/>
    <w:rsid w:val="10ABBA2B"/>
    <w:rsid w:val="10C6C2A4"/>
    <w:rsid w:val="10CD2332"/>
    <w:rsid w:val="10CFC15D"/>
    <w:rsid w:val="10D4D254"/>
    <w:rsid w:val="10D5A1DF"/>
    <w:rsid w:val="10DB8133"/>
    <w:rsid w:val="10DF58C6"/>
    <w:rsid w:val="10F43C79"/>
    <w:rsid w:val="10FAB6AB"/>
    <w:rsid w:val="1119873D"/>
    <w:rsid w:val="11227107"/>
    <w:rsid w:val="11244D61"/>
    <w:rsid w:val="11721549"/>
    <w:rsid w:val="117E4844"/>
    <w:rsid w:val="1186A110"/>
    <w:rsid w:val="119A0FFD"/>
    <w:rsid w:val="11A4CF07"/>
    <w:rsid w:val="11A544AC"/>
    <w:rsid w:val="11AEC48B"/>
    <w:rsid w:val="11BEFCCE"/>
    <w:rsid w:val="11C8926B"/>
    <w:rsid w:val="11D3B48F"/>
    <w:rsid w:val="11D8910E"/>
    <w:rsid w:val="11DDFE4B"/>
    <w:rsid w:val="11E4FF08"/>
    <w:rsid w:val="11E794D6"/>
    <w:rsid w:val="11E81FCE"/>
    <w:rsid w:val="11EA11E6"/>
    <w:rsid w:val="11FAFDE1"/>
    <w:rsid w:val="120523D3"/>
    <w:rsid w:val="121EA640"/>
    <w:rsid w:val="12217149"/>
    <w:rsid w:val="12240C01"/>
    <w:rsid w:val="12343CBE"/>
    <w:rsid w:val="123A3D91"/>
    <w:rsid w:val="123CA1F8"/>
    <w:rsid w:val="123DE344"/>
    <w:rsid w:val="125A7809"/>
    <w:rsid w:val="125AA89E"/>
    <w:rsid w:val="125EF16D"/>
    <w:rsid w:val="1272752D"/>
    <w:rsid w:val="12782241"/>
    <w:rsid w:val="1278DF05"/>
    <w:rsid w:val="127ABC24"/>
    <w:rsid w:val="1284909E"/>
    <w:rsid w:val="12933F62"/>
    <w:rsid w:val="129893B1"/>
    <w:rsid w:val="129B822F"/>
    <w:rsid w:val="129BD052"/>
    <w:rsid w:val="12A46B93"/>
    <w:rsid w:val="12AD2F63"/>
    <w:rsid w:val="12B34314"/>
    <w:rsid w:val="12B3ADCF"/>
    <w:rsid w:val="12B5E433"/>
    <w:rsid w:val="12C4E5A8"/>
    <w:rsid w:val="12C4F467"/>
    <w:rsid w:val="12CD3867"/>
    <w:rsid w:val="12D3E151"/>
    <w:rsid w:val="12D5E584"/>
    <w:rsid w:val="12D855F5"/>
    <w:rsid w:val="12DDCBEB"/>
    <w:rsid w:val="12E4CE80"/>
    <w:rsid w:val="12E6944B"/>
    <w:rsid w:val="12ED4113"/>
    <w:rsid w:val="12F3689C"/>
    <w:rsid w:val="12F6F460"/>
    <w:rsid w:val="12F955B9"/>
    <w:rsid w:val="12FDCE0D"/>
    <w:rsid w:val="13013B62"/>
    <w:rsid w:val="1303622E"/>
    <w:rsid w:val="1307EA25"/>
    <w:rsid w:val="1310B725"/>
    <w:rsid w:val="131BD728"/>
    <w:rsid w:val="131F4421"/>
    <w:rsid w:val="13222278"/>
    <w:rsid w:val="13236D84"/>
    <w:rsid w:val="1325C0D3"/>
    <w:rsid w:val="132CABB9"/>
    <w:rsid w:val="1331A2A6"/>
    <w:rsid w:val="1331DAEA"/>
    <w:rsid w:val="133554CB"/>
    <w:rsid w:val="1337BA1B"/>
    <w:rsid w:val="13475A8E"/>
    <w:rsid w:val="13484DA4"/>
    <w:rsid w:val="134D96A3"/>
    <w:rsid w:val="134ECE68"/>
    <w:rsid w:val="135F64BC"/>
    <w:rsid w:val="1368BB22"/>
    <w:rsid w:val="13719EEF"/>
    <w:rsid w:val="13735C9C"/>
    <w:rsid w:val="13770D63"/>
    <w:rsid w:val="137A189F"/>
    <w:rsid w:val="13804227"/>
    <w:rsid w:val="1381D931"/>
    <w:rsid w:val="1394541A"/>
    <w:rsid w:val="139FD270"/>
    <w:rsid w:val="13A39E62"/>
    <w:rsid w:val="13A487D4"/>
    <w:rsid w:val="13A94275"/>
    <w:rsid w:val="13A95CF2"/>
    <w:rsid w:val="13AC52FD"/>
    <w:rsid w:val="13AD86E7"/>
    <w:rsid w:val="13AFA969"/>
    <w:rsid w:val="13B80F5A"/>
    <w:rsid w:val="13C7F2F9"/>
    <w:rsid w:val="13CD17FD"/>
    <w:rsid w:val="13D65287"/>
    <w:rsid w:val="13DB8595"/>
    <w:rsid w:val="13DD4FCB"/>
    <w:rsid w:val="13DF8C8E"/>
    <w:rsid w:val="13E67221"/>
    <w:rsid w:val="13E79995"/>
    <w:rsid w:val="13E8668B"/>
    <w:rsid w:val="13F032A3"/>
    <w:rsid w:val="13F11698"/>
    <w:rsid w:val="1409C558"/>
    <w:rsid w:val="14231B6C"/>
    <w:rsid w:val="1446707F"/>
    <w:rsid w:val="1454A7BA"/>
    <w:rsid w:val="14579425"/>
    <w:rsid w:val="147C53D9"/>
    <w:rsid w:val="147E48EE"/>
    <w:rsid w:val="149198ED"/>
    <w:rsid w:val="14B3B42D"/>
    <w:rsid w:val="14BDE789"/>
    <w:rsid w:val="14BE9485"/>
    <w:rsid w:val="14C4CB9C"/>
    <w:rsid w:val="14C56F09"/>
    <w:rsid w:val="14CA93A1"/>
    <w:rsid w:val="14D31984"/>
    <w:rsid w:val="14DC28C7"/>
    <w:rsid w:val="14E1D52C"/>
    <w:rsid w:val="14E273F2"/>
    <w:rsid w:val="14E2C6E2"/>
    <w:rsid w:val="14E6D237"/>
    <w:rsid w:val="14E7E9B6"/>
    <w:rsid w:val="14EDA307"/>
    <w:rsid w:val="14EEA490"/>
    <w:rsid w:val="14EFDB22"/>
    <w:rsid w:val="14F275BA"/>
    <w:rsid w:val="1503DC26"/>
    <w:rsid w:val="150478FC"/>
    <w:rsid w:val="1507B938"/>
    <w:rsid w:val="151780CB"/>
    <w:rsid w:val="1523761E"/>
    <w:rsid w:val="152B4DFC"/>
    <w:rsid w:val="152C0050"/>
    <w:rsid w:val="153360CB"/>
    <w:rsid w:val="1534B37C"/>
    <w:rsid w:val="1548A639"/>
    <w:rsid w:val="154DB428"/>
    <w:rsid w:val="154EDECC"/>
    <w:rsid w:val="155109A6"/>
    <w:rsid w:val="1555F312"/>
    <w:rsid w:val="1557075A"/>
    <w:rsid w:val="15650F67"/>
    <w:rsid w:val="156B504C"/>
    <w:rsid w:val="15779ED2"/>
    <w:rsid w:val="157F45B5"/>
    <w:rsid w:val="158CC1D3"/>
    <w:rsid w:val="159B4CF6"/>
    <w:rsid w:val="15A5445B"/>
    <w:rsid w:val="15AE05D1"/>
    <w:rsid w:val="15B961FC"/>
    <w:rsid w:val="15C8548C"/>
    <w:rsid w:val="15CBA5B4"/>
    <w:rsid w:val="15D9350B"/>
    <w:rsid w:val="15D9EE0F"/>
    <w:rsid w:val="15EE1C6D"/>
    <w:rsid w:val="15F6C9E7"/>
    <w:rsid w:val="16008E53"/>
    <w:rsid w:val="1601BB80"/>
    <w:rsid w:val="160C8750"/>
    <w:rsid w:val="160CB862"/>
    <w:rsid w:val="1611A3DB"/>
    <w:rsid w:val="1624B219"/>
    <w:rsid w:val="16294F1B"/>
    <w:rsid w:val="16376987"/>
    <w:rsid w:val="163DC691"/>
    <w:rsid w:val="163FC70B"/>
    <w:rsid w:val="1648DE6C"/>
    <w:rsid w:val="164AA7F9"/>
    <w:rsid w:val="164CEAA6"/>
    <w:rsid w:val="164E4495"/>
    <w:rsid w:val="164EB5AB"/>
    <w:rsid w:val="16537435"/>
    <w:rsid w:val="16568ADF"/>
    <w:rsid w:val="16597C0C"/>
    <w:rsid w:val="16677908"/>
    <w:rsid w:val="166A82E3"/>
    <w:rsid w:val="166DF414"/>
    <w:rsid w:val="16742ECC"/>
    <w:rsid w:val="16755F2F"/>
    <w:rsid w:val="1675F8EC"/>
    <w:rsid w:val="167B4C81"/>
    <w:rsid w:val="167F3701"/>
    <w:rsid w:val="168B9604"/>
    <w:rsid w:val="168F6AEB"/>
    <w:rsid w:val="1693BBC6"/>
    <w:rsid w:val="1698BF84"/>
    <w:rsid w:val="16AA1D44"/>
    <w:rsid w:val="16AAC761"/>
    <w:rsid w:val="16AEED48"/>
    <w:rsid w:val="16B2A80E"/>
    <w:rsid w:val="16B832A4"/>
    <w:rsid w:val="16B8C256"/>
    <w:rsid w:val="16BB0D7D"/>
    <w:rsid w:val="16C74054"/>
    <w:rsid w:val="16C8BD3B"/>
    <w:rsid w:val="16CAB540"/>
    <w:rsid w:val="16D464F6"/>
    <w:rsid w:val="16E5FE02"/>
    <w:rsid w:val="16ECB608"/>
    <w:rsid w:val="16F90541"/>
    <w:rsid w:val="1703AE69"/>
    <w:rsid w:val="170F79F3"/>
    <w:rsid w:val="17116037"/>
    <w:rsid w:val="1716FAEF"/>
    <w:rsid w:val="17184BA0"/>
    <w:rsid w:val="172443B0"/>
    <w:rsid w:val="1725A842"/>
    <w:rsid w:val="173D8DF5"/>
    <w:rsid w:val="1741CA94"/>
    <w:rsid w:val="174D9C08"/>
    <w:rsid w:val="17583904"/>
    <w:rsid w:val="1760D61A"/>
    <w:rsid w:val="177EE05D"/>
    <w:rsid w:val="178B0B31"/>
    <w:rsid w:val="178BA4AE"/>
    <w:rsid w:val="1791A815"/>
    <w:rsid w:val="17A94A3B"/>
    <w:rsid w:val="17AB3C80"/>
    <w:rsid w:val="17B08246"/>
    <w:rsid w:val="17B79E9B"/>
    <w:rsid w:val="17BF476D"/>
    <w:rsid w:val="17C69E5B"/>
    <w:rsid w:val="17C8C072"/>
    <w:rsid w:val="17CB9199"/>
    <w:rsid w:val="17E286C5"/>
    <w:rsid w:val="17EA641A"/>
    <w:rsid w:val="17F74399"/>
    <w:rsid w:val="180119A2"/>
    <w:rsid w:val="18066EEF"/>
    <w:rsid w:val="18185EB0"/>
    <w:rsid w:val="1819E8A0"/>
    <w:rsid w:val="181C186B"/>
    <w:rsid w:val="181E9102"/>
    <w:rsid w:val="182169A1"/>
    <w:rsid w:val="18218BE4"/>
    <w:rsid w:val="182B33B6"/>
    <w:rsid w:val="183423D1"/>
    <w:rsid w:val="183966DF"/>
    <w:rsid w:val="1849B4DF"/>
    <w:rsid w:val="184E997B"/>
    <w:rsid w:val="1854DD26"/>
    <w:rsid w:val="18563E7A"/>
    <w:rsid w:val="1858436C"/>
    <w:rsid w:val="18589815"/>
    <w:rsid w:val="18596301"/>
    <w:rsid w:val="185E51BE"/>
    <w:rsid w:val="18659AE2"/>
    <w:rsid w:val="1873FCE7"/>
    <w:rsid w:val="18759876"/>
    <w:rsid w:val="18823F26"/>
    <w:rsid w:val="1885B1A4"/>
    <w:rsid w:val="188FBF67"/>
    <w:rsid w:val="18922296"/>
    <w:rsid w:val="189D6D2C"/>
    <w:rsid w:val="18BE8E5E"/>
    <w:rsid w:val="18CEF01B"/>
    <w:rsid w:val="18D8A083"/>
    <w:rsid w:val="18E9A3D0"/>
    <w:rsid w:val="18EEF831"/>
    <w:rsid w:val="18F53D44"/>
    <w:rsid w:val="190A5EEF"/>
    <w:rsid w:val="191592FD"/>
    <w:rsid w:val="191611F6"/>
    <w:rsid w:val="19184DBA"/>
    <w:rsid w:val="1921DEBF"/>
    <w:rsid w:val="192525B7"/>
    <w:rsid w:val="192B82B6"/>
    <w:rsid w:val="193565DA"/>
    <w:rsid w:val="195F2F75"/>
    <w:rsid w:val="196CAF01"/>
    <w:rsid w:val="1980C7B6"/>
    <w:rsid w:val="1986BCCD"/>
    <w:rsid w:val="198A3CF6"/>
    <w:rsid w:val="19A68ECF"/>
    <w:rsid w:val="19A91CCA"/>
    <w:rsid w:val="19AE4AA7"/>
    <w:rsid w:val="19B24379"/>
    <w:rsid w:val="19B3A8C1"/>
    <w:rsid w:val="19B6D9F0"/>
    <w:rsid w:val="19B8D6CD"/>
    <w:rsid w:val="19BA6C5A"/>
    <w:rsid w:val="19C17ADC"/>
    <w:rsid w:val="19C5D92C"/>
    <w:rsid w:val="19D18AAE"/>
    <w:rsid w:val="19D2790D"/>
    <w:rsid w:val="19DF4837"/>
    <w:rsid w:val="19E725CB"/>
    <w:rsid w:val="19EB7CD3"/>
    <w:rsid w:val="19F04FF3"/>
    <w:rsid w:val="19F79820"/>
    <w:rsid w:val="1A085772"/>
    <w:rsid w:val="1A0C74F0"/>
    <w:rsid w:val="1A156AE1"/>
    <w:rsid w:val="1A1E1EF1"/>
    <w:rsid w:val="1A223D9E"/>
    <w:rsid w:val="1A28BCF8"/>
    <w:rsid w:val="1A31787B"/>
    <w:rsid w:val="1A35BABC"/>
    <w:rsid w:val="1A3B8453"/>
    <w:rsid w:val="1A462BF1"/>
    <w:rsid w:val="1A483B3B"/>
    <w:rsid w:val="1A4F8C11"/>
    <w:rsid w:val="1A5D2D38"/>
    <w:rsid w:val="1A5E460E"/>
    <w:rsid w:val="1A62B38A"/>
    <w:rsid w:val="1A678F1C"/>
    <w:rsid w:val="1AA4CBAB"/>
    <w:rsid w:val="1AB01481"/>
    <w:rsid w:val="1AB3893E"/>
    <w:rsid w:val="1AB4BCDE"/>
    <w:rsid w:val="1AC0F618"/>
    <w:rsid w:val="1AC3222A"/>
    <w:rsid w:val="1ACB4FCE"/>
    <w:rsid w:val="1AD9A12E"/>
    <w:rsid w:val="1AF84AE3"/>
    <w:rsid w:val="1AFE0B6C"/>
    <w:rsid w:val="1AFFE68A"/>
    <w:rsid w:val="1B0530C9"/>
    <w:rsid w:val="1B070DC8"/>
    <w:rsid w:val="1B110F2F"/>
    <w:rsid w:val="1B19B45A"/>
    <w:rsid w:val="1B213A88"/>
    <w:rsid w:val="1B25AFC5"/>
    <w:rsid w:val="1B34A177"/>
    <w:rsid w:val="1B54530E"/>
    <w:rsid w:val="1B54A161"/>
    <w:rsid w:val="1B59D174"/>
    <w:rsid w:val="1B68298F"/>
    <w:rsid w:val="1B6B4DEC"/>
    <w:rsid w:val="1B769E3F"/>
    <w:rsid w:val="1B87229B"/>
    <w:rsid w:val="1B8A661E"/>
    <w:rsid w:val="1B9E5AD8"/>
    <w:rsid w:val="1BAC9876"/>
    <w:rsid w:val="1BB36C20"/>
    <w:rsid w:val="1BBA51DD"/>
    <w:rsid w:val="1BBDCCDB"/>
    <w:rsid w:val="1BC9E0A5"/>
    <w:rsid w:val="1BDFAE34"/>
    <w:rsid w:val="1BE9B70A"/>
    <w:rsid w:val="1BEB1508"/>
    <w:rsid w:val="1BEC8D76"/>
    <w:rsid w:val="1BF93555"/>
    <w:rsid w:val="1C0349A9"/>
    <w:rsid w:val="1C065D48"/>
    <w:rsid w:val="1C0840D0"/>
    <w:rsid w:val="1C145514"/>
    <w:rsid w:val="1C1ADB2B"/>
    <w:rsid w:val="1C1DF73D"/>
    <w:rsid w:val="1C20A427"/>
    <w:rsid w:val="1C22F4E3"/>
    <w:rsid w:val="1C409EC9"/>
    <w:rsid w:val="1C49B8B7"/>
    <w:rsid w:val="1C62B4E6"/>
    <w:rsid w:val="1C66A14D"/>
    <w:rsid w:val="1C6F05A5"/>
    <w:rsid w:val="1C73D7E9"/>
    <w:rsid w:val="1C73E77D"/>
    <w:rsid w:val="1C7B95A1"/>
    <w:rsid w:val="1C7EA127"/>
    <w:rsid w:val="1C7F7517"/>
    <w:rsid w:val="1C919DF6"/>
    <w:rsid w:val="1CBFBA82"/>
    <w:rsid w:val="1CCB4FDC"/>
    <w:rsid w:val="1CCF43DD"/>
    <w:rsid w:val="1CE87428"/>
    <w:rsid w:val="1CE88AC0"/>
    <w:rsid w:val="1CEDE3D6"/>
    <w:rsid w:val="1CEF91EE"/>
    <w:rsid w:val="1CF1F1DE"/>
    <w:rsid w:val="1CF2ACDA"/>
    <w:rsid w:val="1D005359"/>
    <w:rsid w:val="1D050E71"/>
    <w:rsid w:val="1D05C300"/>
    <w:rsid w:val="1D08914F"/>
    <w:rsid w:val="1D0AD72F"/>
    <w:rsid w:val="1D177385"/>
    <w:rsid w:val="1D19A76A"/>
    <w:rsid w:val="1D23A421"/>
    <w:rsid w:val="1D24219C"/>
    <w:rsid w:val="1D30B0F9"/>
    <w:rsid w:val="1D3460E2"/>
    <w:rsid w:val="1D362389"/>
    <w:rsid w:val="1D404D81"/>
    <w:rsid w:val="1D46BE01"/>
    <w:rsid w:val="1D48B46E"/>
    <w:rsid w:val="1D505B41"/>
    <w:rsid w:val="1D5060DF"/>
    <w:rsid w:val="1D5B71F7"/>
    <w:rsid w:val="1D67061F"/>
    <w:rsid w:val="1D6EFCAB"/>
    <w:rsid w:val="1D75381D"/>
    <w:rsid w:val="1D797AD9"/>
    <w:rsid w:val="1D812CEC"/>
    <w:rsid w:val="1D902E01"/>
    <w:rsid w:val="1D9EAECA"/>
    <w:rsid w:val="1D9EFC6C"/>
    <w:rsid w:val="1DA2BBB1"/>
    <w:rsid w:val="1DA38B35"/>
    <w:rsid w:val="1DBE68AE"/>
    <w:rsid w:val="1DBED645"/>
    <w:rsid w:val="1DDAA0DC"/>
    <w:rsid w:val="1DE581E3"/>
    <w:rsid w:val="1DE68C26"/>
    <w:rsid w:val="1DE76593"/>
    <w:rsid w:val="1E06A78E"/>
    <w:rsid w:val="1E1EBA0F"/>
    <w:rsid w:val="1E2D3D44"/>
    <w:rsid w:val="1E35AC24"/>
    <w:rsid w:val="1E38408E"/>
    <w:rsid w:val="1E38AE09"/>
    <w:rsid w:val="1E3BF86B"/>
    <w:rsid w:val="1E43AE98"/>
    <w:rsid w:val="1E557022"/>
    <w:rsid w:val="1E569895"/>
    <w:rsid w:val="1E5E5C5D"/>
    <w:rsid w:val="1E855887"/>
    <w:rsid w:val="1E8A3E10"/>
    <w:rsid w:val="1E8B16CF"/>
    <w:rsid w:val="1E95AFE8"/>
    <w:rsid w:val="1E991921"/>
    <w:rsid w:val="1EB37ED4"/>
    <w:rsid w:val="1EB3CE8F"/>
    <w:rsid w:val="1EBFF718"/>
    <w:rsid w:val="1EBFF92B"/>
    <w:rsid w:val="1EC9F53F"/>
    <w:rsid w:val="1ECAEF70"/>
    <w:rsid w:val="1ECD1CC4"/>
    <w:rsid w:val="1EDB5DC6"/>
    <w:rsid w:val="1EDED439"/>
    <w:rsid w:val="1EE031B7"/>
    <w:rsid w:val="1EE37596"/>
    <w:rsid w:val="1EE597B5"/>
    <w:rsid w:val="1EE72B54"/>
    <w:rsid w:val="1EF71B1A"/>
    <w:rsid w:val="1EFBCD04"/>
    <w:rsid w:val="1EFFD48F"/>
    <w:rsid w:val="1F02F80A"/>
    <w:rsid w:val="1F089DA9"/>
    <w:rsid w:val="1F2437CE"/>
    <w:rsid w:val="1F2E0D8E"/>
    <w:rsid w:val="1F2F5F4D"/>
    <w:rsid w:val="1F3950C2"/>
    <w:rsid w:val="1F4CEDBF"/>
    <w:rsid w:val="1F4E6A69"/>
    <w:rsid w:val="1F55B299"/>
    <w:rsid w:val="1F646DEC"/>
    <w:rsid w:val="1F677449"/>
    <w:rsid w:val="1F6DFADF"/>
    <w:rsid w:val="1F77F53B"/>
    <w:rsid w:val="1F7B57C4"/>
    <w:rsid w:val="1F7CFBC7"/>
    <w:rsid w:val="1F7CFDF5"/>
    <w:rsid w:val="1F821A63"/>
    <w:rsid w:val="1F882E7E"/>
    <w:rsid w:val="1F88C710"/>
    <w:rsid w:val="1F930FE7"/>
    <w:rsid w:val="1F98075E"/>
    <w:rsid w:val="1F986513"/>
    <w:rsid w:val="1F9B37FE"/>
    <w:rsid w:val="1F9B40F2"/>
    <w:rsid w:val="1F9E87DB"/>
    <w:rsid w:val="1FA925D7"/>
    <w:rsid w:val="1FB2F05B"/>
    <w:rsid w:val="1FC5B679"/>
    <w:rsid w:val="1FD4BCA9"/>
    <w:rsid w:val="1FD8E461"/>
    <w:rsid w:val="1FDC5C01"/>
    <w:rsid w:val="1FE220C4"/>
    <w:rsid w:val="1FE30223"/>
    <w:rsid w:val="1FE76D35"/>
    <w:rsid w:val="1FEAF6B6"/>
    <w:rsid w:val="1FFCE1F9"/>
    <w:rsid w:val="1FFF9035"/>
    <w:rsid w:val="200320C8"/>
    <w:rsid w:val="201108BB"/>
    <w:rsid w:val="202FB076"/>
    <w:rsid w:val="203B0A57"/>
    <w:rsid w:val="204033C1"/>
    <w:rsid w:val="204E33A4"/>
    <w:rsid w:val="204F551A"/>
    <w:rsid w:val="20559191"/>
    <w:rsid w:val="2056678E"/>
    <w:rsid w:val="20569420"/>
    <w:rsid w:val="20645C4A"/>
    <w:rsid w:val="206BC0E1"/>
    <w:rsid w:val="20723EE5"/>
    <w:rsid w:val="2082476C"/>
    <w:rsid w:val="2087A9AF"/>
    <w:rsid w:val="208938D4"/>
    <w:rsid w:val="208D3B0B"/>
    <w:rsid w:val="20904E7A"/>
    <w:rsid w:val="2092FD9E"/>
    <w:rsid w:val="20A6B34E"/>
    <w:rsid w:val="20C4F605"/>
    <w:rsid w:val="20C9C584"/>
    <w:rsid w:val="20E0AD20"/>
    <w:rsid w:val="20E32075"/>
    <w:rsid w:val="20E8ECEA"/>
    <w:rsid w:val="20F579EE"/>
    <w:rsid w:val="20FB8787"/>
    <w:rsid w:val="2102C966"/>
    <w:rsid w:val="21186AEC"/>
    <w:rsid w:val="21282BE6"/>
    <w:rsid w:val="212BA827"/>
    <w:rsid w:val="2135C7DB"/>
    <w:rsid w:val="2138F7DD"/>
    <w:rsid w:val="213E8241"/>
    <w:rsid w:val="21425D90"/>
    <w:rsid w:val="21427E06"/>
    <w:rsid w:val="21448F15"/>
    <w:rsid w:val="214B9FF6"/>
    <w:rsid w:val="214D87A2"/>
    <w:rsid w:val="215002FD"/>
    <w:rsid w:val="215B0A47"/>
    <w:rsid w:val="215BEFD7"/>
    <w:rsid w:val="215C5AC6"/>
    <w:rsid w:val="215F0BDC"/>
    <w:rsid w:val="21614FDA"/>
    <w:rsid w:val="21634967"/>
    <w:rsid w:val="216F9BC8"/>
    <w:rsid w:val="21742CF9"/>
    <w:rsid w:val="2179F52D"/>
    <w:rsid w:val="217E08D8"/>
    <w:rsid w:val="21855775"/>
    <w:rsid w:val="21987985"/>
    <w:rsid w:val="21AE2230"/>
    <w:rsid w:val="21C78A07"/>
    <w:rsid w:val="21C88FDB"/>
    <w:rsid w:val="21CB9DC8"/>
    <w:rsid w:val="21DA0782"/>
    <w:rsid w:val="21DB6ED2"/>
    <w:rsid w:val="21E2023E"/>
    <w:rsid w:val="21EA5C65"/>
    <w:rsid w:val="21F16654"/>
    <w:rsid w:val="21F262EC"/>
    <w:rsid w:val="21F76001"/>
    <w:rsid w:val="21FFB965"/>
    <w:rsid w:val="220B1697"/>
    <w:rsid w:val="221420E7"/>
    <w:rsid w:val="221951D3"/>
    <w:rsid w:val="221F32B7"/>
    <w:rsid w:val="222011FF"/>
    <w:rsid w:val="22276C17"/>
    <w:rsid w:val="222D26C1"/>
    <w:rsid w:val="22341FE7"/>
    <w:rsid w:val="22359A42"/>
    <w:rsid w:val="2243B251"/>
    <w:rsid w:val="2246A62D"/>
    <w:rsid w:val="224BEC5C"/>
    <w:rsid w:val="2250D000"/>
    <w:rsid w:val="22589DC3"/>
    <w:rsid w:val="2259CBBB"/>
    <w:rsid w:val="226C31AE"/>
    <w:rsid w:val="22711782"/>
    <w:rsid w:val="22797DD4"/>
    <w:rsid w:val="227BCE4C"/>
    <w:rsid w:val="227D9FD9"/>
    <w:rsid w:val="228BC4F9"/>
    <w:rsid w:val="22951BD5"/>
    <w:rsid w:val="22958AF6"/>
    <w:rsid w:val="229BD6A3"/>
    <w:rsid w:val="229E1C32"/>
    <w:rsid w:val="229EC922"/>
    <w:rsid w:val="22A1670E"/>
    <w:rsid w:val="22A19E5D"/>
    <w:rsid w:val="22A4A2D4"/>
    <w:rsid w:val="22A9684E"/>
    <w:rsid w:val="22ABE4A0"/>
    <w:rsid w:val="22AC0EDA"/>
    <w:rsid w:val="22BE2D38"/>
    <w:rsid w:val="22CAF24E"/>
    <w:rsid w:val="22DF2392"/>
    <w:rsid w:val="22E7FC2A"/>
    <w:rsid w:val="22E834FA"/>
    <w:rsid w:val="22E94B09"/>
    <w:rsid w:val="22EAB7F5"/>
    <w:rsid w:val="22EB387D"/>
    <w:rsid w:val="22F1AC73"/>
    <w:rsid w:val="22F3528D"/>
    <w:rsid w:val="22F3D7E9"/>
    <w:rsid w:val="22F4A5B3"/>
    <w:rsid w:val="230323A6"/>
    <w:rsid w:val="23037547"/>
    <w:rsid w:val="231AD138"/>
    <w:rsid w:val="231B71BD"/>
    <w:rsid w:val="2322E05B"/>
    <w:rsid w:val="23253088"/>
    <w:rsid w:val="233005F5"/>
    <w:rsid w:val="23396F92"/>
    <w:rsid w:val="233EF7DE"/>
    <w:rsid w:val="23431F14"/>
    <w:rsid w:val="234BC374"/>
    <w:rsid w:val="23515F29"/>
    <w:rsid w:val="2352232A"/>
    <w:rsid w:val="23650900"/>
    <w:rsid w:val="237C7ED1"/>
    <w:rsid w:val="2386CDF7"/>
    <w:rsid w:val="2389EFCF"/>
    <w:rsid w:val="238C2DCE"/>
    <w:rsid w:val="239314FE"/>
    <w:rsid w:val="239FEDCE"/>
    <w:rsid w:val="23A622CA"/>
    <w:rsid w:val="23B73D7D"/>
    <w:rsid w:val="23B8363F"/>
    <w:rsid w:val="23C49161"/>
    <w:rsid w:val="23C4AC41"/>
    <w:rsid w:val="23C9F23B"/>
    <w:rsid w:val="23CA9BE3"/>
    <w:rsid w:val="23CABDD2"/>
    <w:rsid w:val="23D30FC1"/>
    <w:rsid w:val="23DB6C69"/>
    <w:rsid w:val="23DC8D6D"/>
    <w:rsid w:val="23ED0E06"/>
    <w:rsid w:val="23F03BFF"/>
    <w:rsid w:val="23F6EDB9"/>
    <w:rsid w:val="24083694"/>
    <w:rsid w:val="241158F9"/>
    <w:rsid w:val="2413DE31"/>
    <w:rsid w:val="2417D9CC"/>
    <w:rsid w:val="24200E17"/>
    <w:rsid w:val="242337AD"/>
    <w:rsid w:val="24250FA3"/>
    <w:rsid w:val="2427AEBD"/>
    <w:rsid w:val="2428A51F"/>
    <w:rsid w:val="242FA309"/>
    <w:rsid w:val="24383AEA"/>
    <w:rsid w:val="2441EEED"/>
    <w:rsid w:val="24529BF2"/>
    <w:rsid w:val="245FE41A"/>
    <w:rsid w:val="24687C52"/>
    <w:rsid w:val="246AE4F0"/>
    <w:rsid w:val="24722D7F"/>
    <w:rsid w:val="2474B243"/>
    <w:rsid w:val="247582C3"/>
    <w:rsid w:val="24793968"/>
    <w:rsid w:val="2491291E"/>
    <w:rsid w:val="2491F3DE"/>
    <w:rsid w:val="249B6D59"/>
    <w:rsid w:val="24A57409"/>
    <w:rsid w:val="24A71BD4"/>
    <w:rsid w:val="24B30791"/>
    <w:rsid w:val="24BC1B2D"/>
    <w:rsid w:val="24C1FBD8"/>
    <w:rsid w:val="24CAA88F"/>
    <w:rsid w:val="24D1BAE4"/>
    <w:rsid w:val="24D7559E"/>
    <w:rsid w:val="24E09B1F"/>
    <w:rsid w:val="24E2A6DE"/>
    <w:rsid w:val="24E8B98A"/>
    <w:rsid w:val="24F579DF"/>
    <w:rsid w:val="24F61594"/>
    <w:rsid w:val="24FA4D55"/>
    <w:rsid w:val="2506F694"/>
    <w:rsid w:val="25187C77"/>
    <w:rsid w:val="251C3EDF"/>
    <w:rsid w:val="251DBEC7"/>
    <w:rsid w:val="251F5B36"/>
    <w:rsid w:val="252AEC16"/>
    <w:rsid w:val="252B5412"/>
    <w:rsid w:val="25309038"/>
    <w:rsid w:val="2533F15F"/>
    <w:rsid w:val="253A3E10"/>
    <w:rsid w:val="25475723"/>
    <w:rsid w:val="25598C6E"/>
    <w:rsid w:val="25697289"/>
    <w:rsid w:val="25716097"/>
    <w:rsid w:val="257ADB15"/>
    <w:rsid w:val="257E39F4"/>
    <w:rsid w:val="258439E9"/>
    <w:rsid w:val="2589FC51"/>
    <w:rsid w:val="25933792"/>
    <w:rsid w:val="25A20E76"/>
    <w:rsid w:val="25A716FC"/>
    <w:rsid w:val="25A975AD"/>
    <w:rsid w:val="25D7C507"/>
    <w:rsid w:val="25D983AF"/>
    <w:rsid w:val="25D98947"/>
    <w:rsid w:val="25E924B4"/>
    <w:rsid w:val="25ED124B"/>
    <w:rsid w:val="25FEF073"/>
    <w:rsid w:val="2601836E"/>
    <w:rsid w:val="26035651"/>
    <w:rsid w:val="260BA760"/>
    <w:rsid w:val="26111440"/>
    <w:rsid w:val="26149768"/>
    <w:rsid w:val="2615162F"/>
    <w:rsid w:val="2615A9D8"/>
    <w:rsid w:val="261A5DBC"/>
    <w:rsid w:val="263DC453"/>
    <w:rsid w:val="26553F8F"/>
    <w:rsid w:val="265D30D5"/>
    <w:rsid w:val="26611DE3"/>
    <w:rsid w:val="26830C91"/>
    <w:rsid w:val="2686A773"/>
    <w:rsid w:val="2687A256"/>
    <w:rsid w:val="268DF1EF"/>
    <w:rsid w:val="26905E7D"/>
    <w:rsid w:val="26A1F7F2"/>
    <w:rsid w:val="26B32150"/>
    <w:rsid w:val="26BD4BB4"/>
    <w:rsid w:val="26D3A3C3"/>
    <w:rsid w:val="26D5D030"/>
    <w:rsid w:val="26D8949D"/>
    <w:rsid w:val="26DCB6EF"/>
    <w:rsid w:val="26E035BB"/>
    <w:rsid w:val="26EE8A41"/>
    <w:rsid w:val="26EE9042"/>
    <w:rsid w:val="26F9B985"/>
    <w:rsid w:val="26FAC383"/>
    <w:rsid w:val="26FAD000"/>
    <w:rsid w:val="2708B457"/>
    <w:rsid w:val="270DF72B"/>
    <w:rsid w:val="27148DD4"/>
    <w:rsid w:val="271EB0E0"/>
    <w:rsid w:val="27318087"/>
    <w:rsid w:val="2732A8DB"/>
    <w:rsid w:val="27337430"/>
    <w:rsid w:val="27354DBD"/>
    <w:rsid w:val="27380076"/>
    <w:rsid w:val="2742103A"/>
    <w:rsid w:val="2742C89D"/>
    <w:rsid w:val="27431BF5"/>
    <w:rsid w:val="2756A9BC"/>
    <w:rsid w:val="27605D3C"/>
    <w:rsid w:val="27649BA3"/>
    <w:rsid w:val="27671B30"/>
    <w:rsid w:val="27864835"/>
    <w:rsid w:val="278C2EA4"/>
    <w:rsid w:val="278DA497"/>
    <w:rsid w:val="27909931"/>
    <w:rsid w:val="27A66317"/>
    <w:rsid w:val="27ABFAB2"/>
    <w:rsid w:val="27B2C066"/>
    <w:rsid w:val="27BB6D4D"/>
    <w:rsid w:val="27C142AE"/>
    <w:rsid w:val="27C397C9"/>
    <w:rsid w:val="27C8D359"/>
    <w:rsid w:val="27D298F8"/>
    <w:rsid w:val="27D2F921"/>
    <w:rsid w:val="27D846A4"/>
    <w:rsid w:val="27DDA3DF"/>
    <w:rsid w:val="27E5A458"/>
    <w:rsid w:val="27ECD779"/>
    <w:rsid w:val="27EEE2E0"/>
    <w:rsid w:val="27FE664C"/>
    <w:rsid w:val="280196F9"/>
    <w:rsid w:val="280A0863"/>
    <w:rsid w:val="28144A14"/>
    <w:rsid w:val="28167875"/>
    <w:rsid w:val="28198327"/>
    <w:rsid w:val="281B2247"/>
    <w:rsid w:val="281E98C5"/>
    <w:rsid w:val="28246D5E"/>
    <w:rsid w:val="2824F738"/>
    <w:rsid w:val="28273F80"/>
    <w:rsid w:val="2838A9DE"/>
    <w:rsid w:val="28433BBF"/>
    <w:rsid w:val="284A1D86"/>
    <w:rsid w:val="28508329"/>
    <w:rsid w:val="2854CC54"/>
    <w:rsid w:val="28605CAC"/>
    <w:rsid w:val="2867E1EC"/>
    <w:rsid w:val="286E29B0"/>
    <w:rsid w:val="286E6736"/>
    <w:rsid w:val="2874380B"/>
    <w:rsid w:val="28781E02"/>
    <w:rsid w:val="287E4D43"/>
    <w:rsid w:val="287F8B77"/>
    <w:rsid w:val="288F8C28"/>
    <w:rsid w:val="289BA152"/>
    <w:rsid w:val="28AE9A62"/>
    <w:rsid w:val="28B27D4C"/>
    <w:rsid w:val="28BD227F"/>
    <w:rsid w:val="28BF87EC"/>
    <w:rsid w:val="28C4CFEC"/>
    <w:rsid w:val="28CF8457"/>
    <w:rsid w:val="28D26D7F"/>
    <w:rsid w:val="28D33239"/>
    <w:rsid w:val="28DAADB5"/>
    <w:rsid w:val="28E7C503"/>
    <w:rsid w:val="28EC78F8"/>
    <w:rsid w:val="28EFDE6D"/>
    <w:rsid w:val="2902AD4B"/>
    <w:rsid w:val="2906DE4E"/>
    <w:rsid w:val="2909E252"/>
    <w:rsid w:val="290BF735"/>
    <w:rsid w:val="2918B3CA"/>
    <w:rsid w:val="291BFAD1"/>
    <w:rsid w:val="291C9067"/>
    <w:rsid w:val="29288286"/>
    <w:rsid w:val="2939A145"/>
    <w:rsid w:val="293C123F"/>
    <w:rsid w:val="294CF2B5"/>
    <w:rsid w:val="29595F13"/>
    <w:rsid w:val="295A3C0F"/>
    <w:rsid w:val="295B8BF6"/>
    <w:rsid w:val="295DE6EC"/>
    <w:rsid w:val="295E23B3"/>
    <w:rsid w:val="296B1A84"/>
    <w:rsid w:val="29718AE4"/>
    <w:rsid w:val="297BA032"/>
    <w:rsid w:val="297D0628"/>
    <w:rsid w:val="29852676"/>
    <w:rsid w:val="298EDC90"/>
    <w:rsid w:val="298FC1E5"/>
    <w:rsid w:val="299FF492"/>
    <w:rsid w:val="29B39B29"/>
    <w:rsid w:val="29D53B21"/>
    <w:rsid w:val="29E17323"/>
    <w:rsid w:val="29E66AE0"/>
    <w:rsid w:val="29E77C02"/>
    <w:rsid w:val="29EBF1B0"/>
    <w:rsid w:val="29EC2A9E"/>
    <w:rsid w:val="29ED7793"/>
    <w:rsid w:val="29F7B373"/>
    <w:rsid w:val="29F92499"/>
    <w:rsid w:val="2A00EA4F"/>
    <w:rsid w:val="2A0E50DE"/>
    <w:rsid w:val="2A158EEA"/>
    <w:rsid w:val="2A204065"/>
    <w:rsid w:val="2A29EDC8"/>
    <w:rsid w:val="2A2EC726"/>
    <w:rsid w:val="2A2EDAF4"/>
    <w:rsid w:val="2A33E6C7"/>
    <w:rsid w:val="2A373DCF"/>
    <w:rsid w:val="2A46A7A1"/>
    <w:rsid w:val="2A4969A7"/>
    <w:rsid w:val="2A4C2845"/>
    <w:rsid w:val="2A4C2E96"/>
    <w:rsid w:val="2A59FB7A"/>
    <w:rsid w:val="2A5E6F04"/>
    <w:rsid w:val="2A69E1AE"/>
    <w:rsid w:val="2A79F5A9"/>
    <w:rsid w:val="2A8C7729"/>
    <w:rsid w:val="2A907228"/>
    <w:rsid w:val="2A92C635"/>
    <w:rsid w:val="2AA6F99E"/>
    <w:rsid w:val="2AB582CB"/>
    <w:rsid w:val="2AB91E2C"/>
    <w:rsid w:val="2AC31E84"/>
    <w:rsid w:val="2AC47DB0"/>
    <w:rsid w:val="2AD31D52"/>
    <w:rsid w:val="2AD5CE16"/>
    <w:rsid w:val="2ADB6454"/>
    <w:rsid w:val="2AE7615C"/>
    <w:rsid w:val="2AEBD62E"/>
    <w:rsid w:val="2AEFAAEB"/>
    <w:rsid w:val="2AF099B4"/>
    <w:rsid w:val="2AF30E0F"/>
    <w:rsid w:val="2AF880C9"/>
    <w:rsid w:val="2AF95C47"/>
    <w:rsid w:val="2AFEA5C5"/>
    <w:rsid w:val="2B03E4D0"/>
    <w:rsid w:val="2B0A5AEA"/>
    <w:rsid w:val="2B0D5B45"/>
    <w:rsid w:val="2B13BE09"/>
    <w:rsid w:val="2B1586F4"/>
    <w:rsid w:val="2B185235"/>
    <w:rsid w:val="2B1CF35A"/>
    <w:rsid w:val="2B2D750C"/>
    <w:rsid w:val="2B34263A"/>
    <w:rsid w:val="2B3DB44C"/>
    <w:rsid w:val="2B410B3F"/>
    <w:rsid w:val="2B4E5CFC"/>
    <w:rsid w:val="2B7317C0"/>
    <w:rsid w:val="2B757264"/>
    <w:rsid w:val="2B757CE7"/>
    <w:rsid w:val="2B8C3AB4"/>
    <w:rsid w:val="2B9E95DB"/>
    <w:rsid w:val="2BAED3C6"/>
    <w:rsid w:val="2BAFCABF"/>
    <w:rsid w:val="2BBB091B"/>
    <w:rsid w:val="2BBB60EE"/>
    <w:rsid w:val="2BC39627"/>
    <w:rsid w:val="2BD8BC90"/>
    <w:rsid w:val="2BDE1782"/>
    <w:rsid w:val="2C078256"/>
    <w:rsid w:val="2C365486"/>
    <w:rsid w:val="2C5E48B9"/>
    <w:rsid w:val="2C6A3374"/>
    <w:rsid w:val="2C6FBCE5"/>
    <w:rsid w:val="2C818EE0"/>
    <w:rsid w:val="2C92D9BC"/>
    <w:rsid w:val="2C996600"/>
    <w:rsid w:val="2CA13384"/>
    <w:rsid w:val="2CA275B2"/>
    <w:rsid w:val="2CA64040"/>
    <w:rsid w:val="2CA86CE0"/>
    <w:rsid w:val="2CAE612D"/>
    <w:rsid w:val="2CAEE0F7"/>
    <w:rsid w:val="2CB02455"/>
    <w:rsid w:val="2CB50E12"/>
    <w:rsid w:val="2CC04C15"/>
    <w:rsid w:val="2CC0D1C6"/>
    <w:rsid w:val="2CCAD7AF"/>
    <w:rsid w:val="2CD4C003"/>
    <w:rsid w:val="2CDBE548"/>
    <w:rsid w:val="2CDDBA2D"/>
    <w:rsid w:val="2CE4458D"/>
    <w:rsid w:val="2CF1710D"/>
    <w:rsid w:val="2CF1E472"/>
    <w:rsid w:val="2CF924F6"/>
    <w:rsid w:val="2CF991F1"/>
    <w:rsid w:val="2D0C5559"/>
    <w:rsid w:val="2D0DEE6F"/>
    <w:rsid w:val="2D1E7688"/>
    <w:rsid w:val="2D395B77"/>
    <w:rsid w:val="2D4361D4"/>
    <w:rsid w:val="2D46A20E"/>
    <w:rsid w:val="2D47B880"/>
    <w:rsid w:val="2D482D3C"/>
    <w:rsid w:val="2D48C88C"/>
    <w:rsid w:val="2D4AA0AC"/>
    <w:rsid w:val="2D55E7B9"/>
    <w:rsid w:val="2D5BCE3E"/>
    <w:rsid w:val="2D642F56"/>
    <w:rsid w:val="2D64FC93"/>
    <w:rsid w:val="2D672029"/>
    <w:rsid w:val="2D735048"/>
    <w:rsid w:val="2D758B1E"/>
    <w:rsid w:val="2D7BF8C9"/>
    <w:rsid w:val="2D825621"/>
    <w:rsid w:val="2D847678"/>
    <w:rsid w:val="2D94F67B"/>
    <w:rsid w:val="2DA4B9A4"/>
    <w:rsid w:val="2DADB725"/>
    <w:rsid w:val="2DB1E303"/>
    <w:rsid w:val="2DB9E9E3"/>
    <w:rsid w:val="2DBF426F"/>
    <w:rsid w:val="2DD54A6B"/>
    <w:rsid w:val="2DDE526F"/>
    <w:rsid w:val="2DEC2681"/>
    <w:rsid w:val="2DEE4077"/>
    <w:rsid w:val="2DF77102"/>
    <w:rsid w:val="2E02BDF5"/>
    <w:rsid w:val="2E0D30B9"/>
    <w:rsid w:val="2E0DC878"/>
    <w:rsid w:val="2E11B945"/>
    <w:rsid w:val="2E4002BD"/>
    <w:rsid w:val="2E4FB5C8"/>
    <w:rsid w:val="2E56E352"/>
    <w:rsid w:val="2E5C2550"/>
    <w:rsid w:val="2E691588"/>
    <w:rsid w:val="2E7569C7"/>
    <w:rsid w:val="2E793474"/>
    <w:rsid w:val="2E86ACDC"/>
    <w:rsid w:val="2E901CAA"/>
    <w:rsid w:val="2E98E28C"/>
    <w:rsid w:val="2EA6067B"/>
    <w:rsid w:val="2EA86E51"/>
    <w:rsid w:val="2EB0CC2A"/>
    <w:rsid w:val="2EB776B7"/>
    <w:rsid w:val="2EBB3AE3"/>
    <w:rsid w:val="2EC4DA57"/>
    <w:rsid w:val="2ED823B0"/>
    <w:rsid w:val="2ED9AB40"/>
    <w:rsid w:val="2EDE6797"/>
    <w:rsid w:val="2EE1FA21"/>
    <w:rsid w:val="2EE39091"/>
    <w:rsid w:val="2EEEB989"/>
    <w:rsid w:val="2EF0B4B5"/>
    <w:rsid w:val="2F0BCA2E"/>
    <w:rsid w:val="2F0CF50C"/>
    <w:rsid w:val="2F17232C"/>
    <w:rsid w:val="2F17FFE8"/>
    <w:rsid w:val="2F191B00"/>
    <w:rsid w:val="2F2BFA17"/>
    <w:rsid w:val="2F302A3B"/>
    <w:rsid w:val="2F3D140F"/>
    <w:rsid w:val="2F3EC9A4"/>
    <w:rsid w:val="2F41B556"/>
    <w:rsid w:val="2F4EFC7A"/>
    <w:rsid w:val="2F5012F6"/>
    <w:rsid w:val="2F6F7F86"/>
    <w:rsid w:val="2F72CDFF"/>
    <w:rsid w:val="2F77EEB4"/>
    <w:rsid w:val="2F7A9D7D"/>
    <w:rsid w:val="2F7E0980"/>
    <w:rsid w:val="2F800010"/>
    <w:rsid w:val="2F80D9E5"/>
    <w:rsid w:val="2F8A2BFE"/>
    <w:rsid w:val="2F8BE3C1"/>
    <w:rsid w:val="2F9ED6AF"/>
    <w:rsid w:val="2FAD656D"/>
    <w:rsid w:val="2FAF9AEE"/>
    <w:rsid w:val="2FB07298"/>
    <w:rsid w:val="2FBAD9DA"/>
    <w:rsid w:val="2FC2E78D"/>
    <w:rsid w:val="2FC420F9"/>
    <w:rsid w:val="2FC486F3"/>
    <w:rsid w:val="2FC76344"/>
    <w:rsid w:val="2FC7D974"/>
    <w:rsid w:val="2FCE2BB3"/>
    <w:rsid w:val="2FD6E2A2"/>
    <w:rsid w:val="2FDB2B6C"/>
    <w:rsid w:val="2FE00411"/>
    <w:rsid w:val="2FE695B3"/>
    <w:rsid w:val="2FE8D2D9"/>
    <w:rsid w:val="2FF4011A"/>
    <w:rsid w:val="2FF9CE92"/>
    <w:rsid w:val="2FFD71E7"/>
    <w:rsid w:val="300AA7BA"/>
    <w:rsid w:val="300BB92D"/>
    <w:rsid w:val="300C4810"/>
    <w:rsid w:val="3021237E"/>
    <w:rsid w:val="30238285"/>
    <w:rsid w:val="3031350E"/>
    <w:rsid w:val="303B977E"/>
    <w:rsid w:val="304323DF"/>
    <w:rsid w:val="30458370"/>
    <w:rsid w:val="304D4500"/>
    <w:rsid w:val="304FA23E"/>
    <w:rsid w:val="3050D374"/>
    <w:rsid w:val="305152D1"/>
    <w:rsid w:val="3056509A"/>
    <w:rsid w:val="3063FD6B"/>
    <w:rsid w:val="3067EEFC"/>
    <w:rsid w:val="3086834C"/>
    <w:rsid w:val="3094FF76"/>
    <w:rsid w:val="309ABD88"/>
    <w:rsid w:val="309DAA69"/>
    <w:rsid w:val="309E74B6"/>
    <w:rsid w:val="30B3B153"/>
    <w:rsid w:val="30B66E89"/>
    <w:rsid w:val="30B7613E"/>
    <w:rsid w:val="30BDFC2C"/>
    <w:rsid w:val="30C747A7"/>
    <w:rsid w:val="30C86A53"/>
    <w:rsid w:val="30D2CD66"/>
    <w:rsid w:val="30D36182"/>
    <w:rsid w:val="30D7C4F2"/>
    <w:rsid w:val="30E39208"/>
    <w:rsid w:val="30E5655E"/>
    <w:rsid w:val="30E6B358"/>
    <w:rsid w:val="30F2FD47"/>
    <w:rsid w:val="3100A354"/>
    <w:rsid w:val="31035FCD"/>
    <w:rsid w:val="31042AA1"/>
    <w:rsid w:val="31106035"/>
    <w:rsid w:val="3120404C"/>
    <w:rsid w:val="312FAF32"/>
    <w:rsid w:val="313B6B5F"/>
    <w:rsid w:val="3151546F"/>
    <w:rsid w:val="3157C9C7"/>
    <w:rsid w:val="3159E4C3"/>
    <w:rsid w:val="31670367"/>
    <w:rsid w:val="3168CC25"/>
    <w:rsid w:val="317EAAA0"/>
    <w:rsid w:val="31873630"/>
    <w:rsid w:val="31966EBB"/>
    <w:rsid w:val="319A4EA6"/>
    <w:rsid w:val="319BC0E4"/>
    <w:rsid w:val="31A24943"/>
    <w:rsid w:val="31A57041"/>
    <w:rsid w:val="31A9E804"/>
    <w:rsid w:val="31B3230E"/>
    <w:rsid w:val="31B70E30"/>
    <w:rsid w:val="31BB9803"/>
    <w:rsid w:val="31C000E0"/>
    <w:rsid w:val="31CB4042"/>
    <w:rsid w:val="31D14BF4"/>
    <w:rsid w:val="31DA7BA0"/>
    <w:rsid w:val="31DD8314"/>
    <w:rsid w:val="31DDC322"/>
    <w:rsid w:val="31E654AF"/>
    <w:rsid w:val="31F124F3"/>
    <w:rsid w:val="31F665D6"/>
    <w:rsid w:val="31FC250D"/>
    <w:rsid w:val="3214FB48"/>
    <w:rsid w:val="321CA067"/>
    <w:rsid w:val="322E32B6"/>
    <w:rsid w:val="32391B4A"/>
    <w:rsid w:val="3240978F"/>
    <w:rsid w:val="324BD068"/>
    <w:rsid w:val="3251B99B"/>
    <w:rsid w:val="32537537"/>
    <w:rsid w:val="3259ECBF"/>
    <w:rsid w:val="3266F2CE"/>
    <w:rsid w:val="3274A3C7"/>
    <w:rsid w:val="3274C890"/>
    <w:rsid w:val="3278B9F2"/>
    <w:rsid w:val="327D1021"/>
    <w:rsid w:val="327F20F6"/>
    <w:rsid w:val="329E92E5"/>
    <w:rsid w:val="32AB0737"/>
    <w:rsid w:val="32AD1F98"/>
    <w:rsid w:val="32C84DAD"/>
    <w:rsid w:val="32D24A12"/>
    <w:rsid w:val="32DCB3AE"/>
    <w:rsid w:val="32E4C224"/>
    <w:rsid w:val="32E74397"/>
    <w:rsid w:val="32F05308"/>
    <w:rsid w:val="33077D95"/>
    <w:rsid w:val="332111D2"/>
    <w:rsid w:val="332CF3EB"/>
    <w:rsid w:val="332F7A22"/>
    <w:rsid w:val="3332F0C8"/>
    <w:rsid w:val="33628540"/>
    <w:rsid w:val="33671715"/>
    <w:rsid w:val="336A074C"/>
    <w:rsid w:val="336AB49F"/>
    <w:rsid w:val="336BD151"/>
    <w:rsid w:val="3374D721"/>
    <w:rsid w:val="338C0360"/>
    <w:rsid w:val="339D9205"/>
    <w:rsid w:val="33A1F686"/>
    <w:rsid w:val="33A34540"/>
    <w:rsid w:val="33A4A685"/>
    <w:rsid w:val="33AEBA6F"/>
    <w:rsid w:val="33B3056E"/>
    <w:rsid w:val="33BDE77B"/>
    <w:rsid w:val="33C1318B"/>
    <w:rsid w:val="33C8E1A5"/>
    <w:rsid w:val="33CFAC76"/>
    <w:rsid w:val="33D92FCE"/>
    <w:rsid w:val="33E76070"/>
    <w:rsid w:val="33EC16DA"/>
    <w:rsid w:val="33EC54FF"/>
    <w:rsid w:val="33F1C4FF"/>
    <w:rsid w:val="33F23899"/>
    <w:rsid w:val="33F68AE6"/>
    <w:rsid w:val="33FAD55C"/>
    <w:rsid w:val="33FFF711"/>
    <w:rsid w:val="34035B4E"/>
    <w:rsid w:val="340EA146"/>
    <w:rsid w:val="340FA056"/>
    <w:rsid w:val="34112372"/>
    <w:rsid w:val="3416C439"/>
    <w:rsid w:val="341D2CD2"/>
    <w:rsid w:val="343F4006"/>
    <w:rsid w:val="344ED320"/>
    <w:rsid w:val="34553760"/>
    <w:rsid w:val="34688E4A"/>
    <w:rsid w:val="3474C78D"/>
    <w:rsid w:val="347D0DC5"/>
    <w:rsid w:val="34953665"/>
    <w:rsid w:val="3499D721"/>
    <w:rsid w:val="34A42DF2"/>
    <w:rsid w:val="34BEF3EE"/>
    <w:rsid w:val="34C3BD56"/>
    <w:rsid w:val="34C59CE3"/>
    <w:rsid w:val="34F002D7"/>
    <w:rsid w:val="34F13BEF"/>
    <w:rsid w:val="34F71054"/>
    <w:rsid w:val="3501DE23"/>
    <w:rsid w:val="350F2E7E"/>
    <w:rsid w:val="351187B3"/>
    <w:rsid w:val="35184DA3"/>
    <w:rsid w:val="351B8B39"/>
    <w:rsid w:val="35431A87"/>
    <w:rsid w:val="354B1852"/>
    <w:rsid w:val="354E7DAB"/>
    <w:rsid w:val="3566A772"/>
    <w:rsid w:val="3567A03A"/>
    <w:rsid w:val="356B4179"/>
    <w:rsid w:val="357676D5"/>
    <w:rsid w:val="35837DB2"/>
    <w:rsid w:val="3586271C"/>
    <w:rsid w:val="358BCD88"/>
    <w:rsid w:val="3597CCB8"/>
    <w:rsid w:val="35AAFE9A"/>
    <w:rsid w:val="35ACB726"/>
    <w:rsid w:val="35B073B7"/>
    <w:rsid w:val="35B406D2"/>
    <w:rsid w:val="35B8949A"/>
    <w:rsid w:val="35BB4178"/>
    <w:rsid w:val="35C24A85"/>
    <w:rsid w:val="35C73AB3"/>
    <w:rsid w:val="35CB55CD"/>
    <w:rsid w:val="35D56CFE"/>
    <w:rsid w:val="35E534A3"/>
    <w:rsid w:val="35F01CAB"/>
    <w:rsid w:val="35F623FB"/>
    <w:rsid w:val="35FA292D"/>
    <w:rsid w:val="3601E2E2"/>
    <w:rsid w:val="3607E487"/>
    <w:rsid w:val="360984E5"/>
    <w:rsid w:val="361097EE"/>
    <w:rsid w:val="3610F0C9"/>
    <w:rsid w:val="361711C9"/>
    <w:rsid w:val="36181E79"/>
    <w:rsid w:val="362E9040"/>
    <w:rsid w:val="3638CD75"/>
    <w:rsid w:val="363DB8BA"/>
    <w:rsid w:val="363FF5AF"/>
    <w:rsid w:val="3656EB62"/>
    <w:rsid w:val="365B05AE"/>
    <w:rsid w:val="365D3569"/>
    <w:rsid w:val="3662B36F"/>
    <w:rsid w:val="366A7FF9"/>
    <w:rsid w:val="3674A87B"/>
    <w:rsid w:val="367AB7C8"/>
    <w:rsid w:val="3682A6A6"/>
    <w:rsid w:val="368A0E5B"/>
    <w:rsid w:val="36932FE8"/>
    <w:rsid w:val="36B697BA"/>
    <w:rsid w:val="36C04636"/>
    <w:rsid w:val="36E878B7"/>
    <w:rsid w:val="36EE3E34"/>
    <w:rsid w:val="36F4F69A"/>
    <w:rsid w:val="36F8C6D9"/>
    <w:rsid w:val="36FBF3BD"/>
    <w:rsid w:val="36FC9C1D"/>
    <w:rsid w:val="37020B31"/>
    <w:rsid w:val="3704AFAA"/>
    <w:rsid w:val="370E06C2"/>
    <w:rsid w:val="371C3A11"/>
    <w:rsid w:val="371C5BEB"/>
    <w:rsid w:val="371DBC78"/>
    <w:rsid w:val="3722B2D8"/>
    <w:rsid w:val="37230B4E"/>
    <w:rsid w:val="37392C6E"/>
    <w:rsid w:val="373A5F73"/>
    <w:rsid w:val="373CA38C"/>
    <w:rsid w:val="375217F0"/>
    <w:rsid w:val="37561182"/>
    <w:rsid w:val="375BFB72"/>
    <w:rsid w:val="376A7E26"/>
    <w:rsid w:val="376C2F76"/>
    <w:rsid w:val="376FC61B"/>
    <w:rsid w:val="3772B793"/>
    <w:rsid w:val="377E2445"/>
    <w:rsid w:val="3781D436"/>
    <w:rsid w:val="37832606"/>
    <w:rsid w:val="378502F6"/>
    <w:rsid w:val="37909FF8"/>
    <w:rsid w:val="3795605C"/>
    <w:rsid w:val="379BD160"/>
    <w:rsid w:val="37A18955"/>
    <w:rsid w:val="37A45784"/>
    <w:rsid w:val="37ACC5D0"/>
    <w:rsid w:val="37AF6481"/>
    <w:rsid w:val="37B27E80"/>
    <w:rsid w:val="37C8FB68"/>
    <w:rsid w:val="37C9FD7C"/>
    <w:rsid w:val="37CF6608"/>
    <w:rsid w:val="37D35888"/>
    <w:rsid w:val="37D85C7B"/>
    <w:rsid w:val="37DBEFAE"/>
    <w:rsid w:val="37DD9BDE"/>
    <w:rsid w:val="37E0FC96"/>
    <w:rsid w:val="37E1A5D9"/>
    <w:rsid w:val="37F500CF"/>
    <w:rsid w:val="37F67741"/>
    <w:rsid w:val="3804942B"/>
    <w:rsid w:val="38142B4D"/>
    <w:rsid w:val="38186F30"/>
    <w:rsid w:val="381A1FF6"/>
    <w:rsid w:val="3834C26A"/>
    <w:rsid w:val="3835A183"/>
    <w:rsid w:val="3838EB76"/>
    <w:rsid w:val="383C662C"/>
    <w:rsid w:val="383D786F"/>
    <w:rsid w:val="38463F4D"/>
    <w:rsid w:val="384ACB15"/>
    <w:rsid w:val="3852D55B"/>
    <w:rsid w:val="38554133"/>
    <w:rsid w:val="385B6260"/>
    <w:rsid w:val="3862D10D"/>
    <w:rsid w:val="386931FF"/>
    <w:rsid w:val="3874A2E6"/>
    <w:rsid w:val="387CEBB4"/>
    <w:rsid w:val="388142EB"/>
    <w:rsid w:val="388D882E"/>
    <w:rsid w:val="389A8AE1"/>
    <w:rsid w:val="38A2776C"/>
    <w:rsid w:val="38A4CDC2"/>
    <w:rsid w:val="38A6017E"/>
    <w:rsid w:val="38B15B98"/>
    <w:rsid w:val="38B285CF"/>
    <w:rsid w:val="38B3D429"/>
    <w:rsid w:val="38B46327"/>
    <w:rsid w:val="38C148D4"/>
    <w:rsid w:val="38CBEF34"/>
    <w:rsid w:val="38CD1FB5"/>
    <w:rsid w:val="38CD5E6F"/>
    <w:rsid w:val="38D0FC4D"/>
    <w:rsid w:val="38DC689C"/>
    <w:rsid w:val="38DCE449"/>
    <w:rsid w:val="38E1FA27"/>
    <w:rsid w:val="38EA38EF"/>
    <w:rsid w:val="38ED7363"/>
    <w:rsid w:val="38EFF2DE"/>
    <w:rsid w:val="38F2D1D2"/>
    <w:rsid w:val="38F54ADA"/>
    <w:rsid w:val="38FCC841"/>
    <w:rsid w:val="390CAE04"/>
    <w:rsid w:val="390E7CAB"/>
    <w:rsid w:val="3915D727"/>
    <w:rsid w:val="39285C21"/>
    <w:rsid w:val="3937950B"/>
    <w:rsid w:val="3940E6F4"/>
    <w:rsid w:val="394E1B17"/>
    <w:rsid w:val="39524454"/>
    <w:rsid w:val="395D18F7"/>
    <w:rsid w:val="39606B83"/>
    <w:rsid w:val="3967A388"/>
    <w:rsid w:val="396DCCBB"/>
    <w:rsid w:val="39799BDD"/>
    <w:rsid w:val="397B877A"/>
    <w:rsid w:val="397D0DA7"/>
    <w:rsid w:val="398549AC"/>
    <w:rsid w:val="39A42A1F"/>
    <w:rsid w:val="39ABB0E2"/>
    <w:rsid w:val="39B07756"/>
    <w:rsid w:val="39B6B80C"/>
    <w:rsid w:val="39C0F576"/>
    <w:rsid w:val="39C4D2A6"/>
    <w:rsid w:val="39C560F2"/>
    <w:rsid w:val="39CE3E46"/>
    <w:rsid w:val="39CE536B"/>
    <w:rsid w:val="39CF93C3"/>
    <w:rsid w:val="39D1C065"/>
    <w:rsid w:val="39D51574"/>
    <w:rsid w:val="39E036AF"/>
    <w:rsid w:val="39E6F09B"/>
    <w:rsid w:val="39E7F565"/>
    <w:rsid w:val="39EA273D"/>
    <w:rsid w:val="39F5A546"/>
    <w:rsid w:val="3A02CAA1"/>
    <w:rsid w:val="3A03C90F"/>
    <w:rsid w:val="3A19B270"/>
    <w:rsid w:val="3A24795E"/>
    <w:rsid w:val="3A403CB9"/>
    <w:rsid w:val="3A41529A"/>
    <w:rsid w:val="3A43D8FC"/>
    <w:rsid w:val="3A465E44"/>
    <w:rsid w:val="3A57C97B"/>
    <w:rsid w:val="3A6CB83C"/>
    <w:rsid w:val="3A70E715"/>
    <w:rsid w:val="3A828C51"/>
    <w:rsid w:val="3A8C92A5"/>
    <w:rsid w:val="3AA0C3D0"/>
    <w:rsid w:val="3AA6FAD7"/>
    <w:rsid w:val="3AA8EE0F"/>
    <w:rsid w:val="3AAA9BB6"/>
    <w:rsid w:val="3AB6BE6B"/>
    <w:rsid w:val="3AB7D961"/>
    <w:rsid w:val="3ABF0F3C"/>
    <w:rsid w:val="3ADD498D"/>
    <w:rsid w:val="3ADD9491"/>
    <w:rsid w:val="3AE15585"/>
    <w:rsid w:val="3AE1912C"/>
    <w:rsid w:val="3AE2208F"/>
    <w:rsid w:val="3AEA509C"/>
    <w:rsid w:val="3AEB2561"/>
    <w:rsid w:val="3AF0097C"/>
    <w:rsid w:val="3B081100"/>
    <w:rsid w:val="3B10BB2B"/>
    <w:rsid w:val="3B1BD4D1"/>
    <w:rsid w:val="3B1EC836"/>
    <w:rsid w:val="3B2BA4E6"/>
    <w:rsid w:val="3B2D99F0"/>
    <w:rsid w:val="3B422773"/>
    <w:rsid w:val="3B428161"/>
    <w:rsid w:val="3B42D995"/>
    <w:rsid w:val="3B445651"/>
    <w:rsid w:val="3B45C713"/>
    <w:rsid w:val="3B48D20D"/>
    <w:rsid w:val="3B48F44F"/>
    <w:rsid w:val="3B5748FA"/>
    <w:rsid w:val="3B5E4740"/>
    <w:rsid w:val="3B62303B"/>
    <w:rsid w:val="3B6C56D4"/>
    <w:rsid w:val="3B70D2A3"/>
    <w:rsid w:val="3B76BDD7"/>
    <w:rsid w:val="3B95AF9E"/>
    <w:rsid w:val="3B960802"/>
    <w:rsid w:val="3B992A19"/>
    <w:rsid w:val="3BA9B577"/>
    <w:rsid w:val="3BB142F6"/>
    <w:rsid w:val="3BB14B7B"/>
    <w:rsid w:val="3BB82A46"/>
    <w:rsid w:val="3BC0769F"/>
    <w:rsid w:val="3BCF2910"/>
    <w:rsid w:val="3BDA1DC4"/>
    <w:rsid w:val="3BF09F5C"/>
    <w:rsid w:val="3BF21EBA"/>
    <w:rsid w:val="3BF3811A"/>
    <w:rsid w:val="3BF642E2"/>
    <w:rsid w:val="3BF73F89"/>
    <w:rsid w:val="3BFDFC40"/>
    <w:rsid w:val="3C008969"/>
    <w:rsid w:val="3C0508A5"/>
    <w:rsid w:val="3C0AA40E"/>
    <w:rsid w:val="3C0AD138"/>
    <w:rsid w:val="3C11D7DC"/>
    <w:rsid w:val="3C23125B"/>
    <w:rsid w:val="3C26F7A8"/>
    <w:rsid w:val="3C3F6C8A"/>
    <w:rsid w:val="3C404D0E"/>
    <w:rsid w:val="3C437AD3"/>
    <w:rsid w:val="3C456CE2"/>
    <w:rsid w:val="3C5B73BF"/>
    <w:rsid w:val="3C6710D4"/>
    <w:rsid w:val="3C720689"/>
    <w:rsid w:val="3C760E15"/>
    <w:rsid w:val="3C7AF979"/>
    <w:rsid w:val="3C95B7EF"/>
    <w:rsid w:val="3CAF6845"/>
    <w:rsid w:val="3CB15B83"/>
    <w:rsid w:val="3CC77547"/>
    <w:rsid w:val="3CCFE928"/>
    <w:rsid w:val="3CD39215"/>
    <w:rsid w:val="3CDA8C1B"/>
    <w:rsid w:val="3CDF815C"/>
    <w:rsid w:val="3CDF82E0"/>
    <w:rsid w:val="3CF2823C"/>
    <w:rsid w:val="3CF2CA53"/>
    <w:rsid w:val="3CF6A448"/>
    <w:rsid w:val="3CF72584"/>
    <w:rsid w:val="3D0FB2FC"/>
    <w:rsid w:val="3D1A4354"/>
    <w:rsid w:val="3D1F14FF"/>
    <w:rsid w:val="3D27049C"/>
    <w:rsid w:val="3D2CD6F9"/>
    <w:rsid w:val="3D3221F8"/>
    <w:rsid w:val="3D3953E6"/>
    <w:rsid w:val="3D41DB84"/>
    <w:rsid w:val="3D469942"/>
    <w:rsid w:val="3D4EFE3C"/>
    <w:rsid w:val="3D51761E"/>
    <w:rsid w:val="3D616055"/>
    <w:rsid w:val="3D6BECE3"/>
    <w:rsid w:val="3D70BAEF"/>
    <w:rsid w:val="3D74783E"/>
    <w:rsid w:val="3D77F22C"/>
    <w:rsid w:val="3D7C87D2"/>
    <w:rsid w:val="3D86E43B"/>
    <w:rsid w:val="3D8CF447"/>
    <w:rsid w:val="3D945C76"/>
    <w:rsid w:val="3D98562C"/>
    <w:rsid w:val="3D9E3BAB"/>
    <w:rsid w:val="3DA057B1"/>
    <w:rsid w:val="3DA1E0A8"/>
    <w:rsid w:val="3DA98D89"/>
    <w:rsid w:val="3DACD41D"/>
    <w:rsid w:val="3DADC5BA"/>
    <w:rsid w:val="3DB60854"/>
    <w:rsid w:val="3DCCB376"/>
    <w:rsid w:val="3DD093C8"/>
    <w:rsid w:val="3DD19A1F"/>
    <w:rsid w:val="3DD6C706"/>
    <w:rsid w:val="3DD96B72"/>
    <w:rsid w:val="3DDCC714"/>
    <w:rsid w:val="3DDEDC95"/>
    <w:rsid w:val="3DDFBC51"/>
    <w:rsid w:val="3DE3A265"/>
    <w:rsid w:val="3DE78370"/>
    <w:rsid w:val="3DEE2764"/>
    <w:rsid w:val="3DFB2B64"/>
    <w:rsid w:val="3E02C105"/>
    <w:rsid w:val="3E0AB3EC"/>
    <w:rsid w:val="3E1F2A91"/>
    <w:rsid w:val="3E1F3DB2"/>
    <w:rsid w:val="3E2A6A40"/>
    <w:rsid w:val="3E2CE3DF"/>
    <w:rsid w:val="3E2D56C5"/>
    <w:rsid w:val="3E3094E9"/>
    <w:rsid w:val="3E339AEB"/>
    <w:rsid w:val="3E387D52"/>
    <w:rsid w:val="3E394249"/>
    <w:rsid w:val="3E39BAF9"/>
    <w:rsid w:val="3E416B05"/>
    <w:rsid w:val="3E4480FA"/>
    <w:rsid w:val="3E47DB0C"/>
    <w:rsid w:val="3E5A4D26"/>
    <w:rsid w:val="3E60D2DB"/>
    <w:rsid w:val="3E7A8855"/>
    <w:rsid w:val="3E8D27D3"/>
    <w:rsid w:val="3E90CDC0"/>
    <w:rsid w:val="3EA2A514"/>
    <w:rsid w:val="3EA76052"/>
    <w:rsid w:val="3EA961DE"/>
    <w:rsid w:val="3EC1033E"/>
    <w:rsid w:val="3ED2B343"/>
    <w:rsid w:val="3ED5C219"/>
    <w:rsid w:val="3ED72A8F"/>
    <w:rsid w:val="3ED807E6"/>
    <w:rsid w:val="3EDC0876"/>
    <w:rsid w:val="3EDE25A1"/>
    <w:rsid w:val="3EE9F096"/>
    <w:rsid w:val="3EEECBD5"/>
    <w:rsid w:val="3EF0DB73"/>
    <w:rsid w:val="3EF10C78"/>
    <w:rsid w:val="3F048092"/>
    <w:rsid w:val="3F121EB3"/>
    <w:rsid w:val="3F176D4D"/>
    <w:rsid w:val="3F1F80A1"/>
    <w:rsid w:val="3F22DF7C"/>
    <w:rsid w:val="3F286200"/>
    <w:rsid w:val="3F30FAEF"/>
    <w:rsid w:val="3F349024"/>
    <w:rsid w:val="3F50D790"/>
    <w:rsid w:val="3F57D176"/>
    <w:rsid w:val="3F65E551"/>
    <w:rsid w:val="3F6825B5"/>
    <w:rsid w:val="3F7A85E5"/>
    <w:rsid w:val="3F85E796"/>
    <w:rsid w:val="3F8B0232"/>
    <w:rsid w:val="3F9CD0FE"/>
    <w:rsid w:val="3F9F2EA4"/>
    <w:rsid w:val="3F9F6D76"/>
    <w:rsid w:val="3FA32FF9"/>
    <w:rsid w:val="3FB794A6"/>
    <w:rsid w:val="3FB91AB9"/>
    <w:rsid w:val="3FBA4423"/>
    <w:rsid w:val="3FC3FA90"/>
    <w:rsid w:val="3FC5914D"/>
    <w:rsid w:val="3FCAF5CC"/>
    <w:rsid w:val="3FD15347"/>
    <w:rsid w:val="3FD2B39D"/>
    <w:rsid w:val="3FDC572E"/>
    <w:rsid w:val="3FDE4ACF"/>
    <w:rsid w:val="3FE5B52E"/>
    <w:rsid w:val="400A5627"/>
    <w:rsid w:val="4012D8E1"/>
    <w:rsid w:val="40192347"/>
    <w:rsid w:val="4030095F"/>
    <w:rsid w:val="4036984E"/>
    <w:rsid w:val="403FDA46"/>
    <w:rsid w:val="404093C2"/>
    <w:rsid w:val="404197C4"/>
    <w:rsid w:val="4042DE08"/>
    <w:rsid w:val="40454477"/>
    <w:rsid w:val="4047728D"/>
    <w:rsid w:val="404A0145"/>
    <w:rsid w:val="404B866F"/>
    <w:rsid w:val="404F76A9"/>
    <w:rsid w:val="405536BC"/>
    <w:rsid w:val="406095D2"/>
    <w:rsid w:val="4070AF53"/>
    <w:rsid w:val="4075E134"/>
    <w:rsid w:val="4085BF39"/>
    <w:rsid w:val="408888EC"/>
    <w:rsid w:val="4091029A"/>
    <w:rsid w:val="409502AC"/>
    <w:rsid w:val="409872D3"/>
    <w:rsid w:val="40A598BB"/>
    <w:rsid w:val="40A5FC8D"/>
    <w:rsid w:val="40AA6F60"/>
    <w:rsid w:val="40ADA4A2"/>
    <w:rsid w:val="40C364BF"/>
    <w:rsid w:val="40D37FE6"/>
    <w:rsid w:val="40E9DD9C"/>
    <w:rsid w:val="40EAA88D"/>
    <w:rsid w:val="40F11381"/>
    <w:rsid w:val="410398B1"/>
    <w:rsid w:val="4112B663"/>
    <w:rsid w:val="411EAE4D"/>
    <w:rsid w:val="411F9BB6"/>
    <w:rsid w:val="4120B565"/>
    <w:rsid w:val="412F6598"/>
    <w:rsid w:val="413539BA"/>
    <w:rsid w:val="413FC0DD"/>
    <w:rsid w:val="4149AD93"/>
    <w:rsid w:val="4162AF37"/>
    <w:rsid w:val="41659DF5"/>
    <w:rsid w:val="4168A071"/>
    <w:rsid w:val="416A2469"/>
    <w:rsid w:val="416F250B"/>
    <w:rsid w:val="417CF317"/>
    <w:rsid w:val="4187DA48"/>
    <w:rsid w:val="418A2B38"/>
    <w:rsid w:val="418EDDC0"/>
    <w:rsid w:val="4190945E"/>
    <w:rsid w:val="4197D352"/>
    <w:rsid w:val="419857C6"/>
    <w:rsid w:val="419B2868"/>
    <w:rsid w:val="41A78376"/>
    <w:rsid w:val="41A89D7C"/>
    <w:rsid w:val="41AA545F"/>
    <w:rsid w:val="41B101CB"/>
    <w:rsid w:val="41B5D591"/>
    <w:rsid w:val="41C10EAC"/>
    <w:rsid w:val="41C42EE1"/>
    <w:rsid w:val="41C8F697"/>
    <w:rsid w:val="41CFDA18"/>
    <w:rsid w:val="41D7C49C"/>
    <w:rsid w:val="41DC1742"/>
    <w:rsid w:val="41FFD82D"/>
    <w:rsid w:val="420DD3B0"/>
    <w:rsid w:val="4210130D"/>
    <w:rsid w:val="4212556B"/>
    <w:rsid w:val="4215DDD7"/>
    <w:rsid w:val="4216BCA2"/>
    <w:rsid w:val="422F87D0"/>
    <w:rsid w:val="42333116"/>
    <w:rsid w:val="4248E71D"/>
    <w:rsid w:val="424B9AC1"/>
    <w:rsid w:val="425AE814"/>
    <w:rsid w:val="426853ED"/>
    <w:rsid w:val="426DC50A"/>
    <w:rsid w:val="4275203F"/>
    <w:rsid w:val="42775CEF"/>
    <w:rsid w:val="4287981A"/>
    <w:rsid w:val="42981285"/>
    <w:rsid w:val="4298B8C7"/>
    <w:rsid w:val="429B5291"/>
    <w:rsid w:val="429BA7AB"/>
    <w:rsid w:val="42A0411B"/>
    <w:rsid w:val="42A1DEE0"/>
    <w:rsid w:val="42C7C570"/>
    <w:rsid w:val="42CA1412"/>
    <w:rsid w:val="42CA40ED"/>
    <w:rsid w:val="42CDD30B"/>
    <w:rsid w:val="42D49C0C"/>
    <w:rsid w:val="42DCF194"/>
    <w:rsid w:val="42E2B773"/>
    <w:rsid w:val="42E303E7"/>
    <w:rsid w:val="42E67273"/>
    <w:rsid w:val="42E87F17"/>
    <w:rsid w:val="42E942E2"/>
    <w:rsid w:val="42EA2116"/>
    <w:rsid w:val="42EDCFBB"/>
    <w:rsid w:val="42EE9C80"/>
    <w:rsid w:val="42EF9341"/>
    <w:rsid w:val="42FABEEF"/>
    <w:rsid w:val="430E3FE2"/>
    <w:rsid w:val="43130647"/>
    <w:rsid w:val="43165AB9"/>
    <w:rsid w:val="43233B6D"/>
    <w:rsid w:val="432A5976"/>
    <w:rsid w:val="4332DC35"/>
    <w:rsid w:val="43332AF9"/>
    <w:rsid w:val="43345BB8"/>
    <w:rsid w:val="433753A9"/>
    <w:rsid w:val="434DEFC9"/>
    <w:rsid w:val="4350882F"/>
    <w:rsid w:val="435456AD"/>
    <w:rsid w:val="4365F845"/>
    <w:rsid w:val="436A785F"/>
    <w:rsid w:val="436AB633"/>
    <w:rsid w:val="437ABA6E"/>
    <w:rsid w:val="437EC928"/>
    <w:rsid w:val="4399ED63"/>
    <w:rsid w:val="439DE189"/>
    <w:rsid w:val="43A4E844"/>
    <w:rsid w:val="43AA5CC8"/>
    <w:rsid w:val="43B09D45"/>
    <w:rsid w:val="43B5C01A"/>
    <w:rsid w:val="43B61C9F"/>
    <w:rsid w:val="43BAAD63"/>
    <w:rsid w:val="43CEEF05"/>
    <w:rsid w:val="43DE9110"/>
    <w:rsid w:val="43E43EF2"/>
    <w:rsid w:val="43F89EC4"/>
    <w:rsid w:val="4412ADB5"/>
    <w:rsid w:val="4418D585"/>
    <w:rsid w:val="4422F109"/>
    <w:rsid w:val="442B22E5"/>
    <w:rsid w:val="44427437"/>
    <w:rsid w:val="444971BE"/>
    <w:rsid w:val="444C1600"/>
    <w:rsid w:val="44600956"/>
    <w:rsid w:val="4462CD73"/>
    <w:rsid w:val="44698D7F"/>
    <w:rsid w:val="44815CFE"/>
    <w:rsid w:val="44844F85"/>
    <w:rsid w:val="4484F670"/>
    <w:rsid w:val="448FBB4C"/>
    <w:rsid w:val="449203D0"/>
    <w:rsid w:val="449B98ED"/>
    <w:rsid w:val="44A39F30"/>
    <w:rsid w:val="44A712DF"/>
    <w:rsid w:val="44AD1A6D"/>
    <w:rsid w:val="44C409C3"/>
    <w:rsid w:val="44C5BAEB"/>
    <w:rsid w:val="44C94F7C"/>
    <w:rsid w:val="44CE9C48"/>
    <w:rsid w:val="44ECBE8F"/>
    <w:rsid w:val="44ECE566"/>
    <w:rsid w:val="44F0F4B6"/>
    <w:rsid w:val="44F5DD26"/>
    <w:rsid w:val="44F99EBD"/>
    <w:rsid w:val="44FE2F34"/>
    <w:rsid w:val="450055C5"/>
    <w:rsid w:val="4500E90E"/>
    <w:rsid w:val="450AF5F6"/>
    <w:rsid w:val="45198FBF"/>
    <w:rsid w:val="451CA287"/>
    <w:rsid w:val="45234316"/>
    <w:rsid w:val="4532863A"/>
    <w:rsid w:val="45335294"/>
    <w:rsid w:val="45393258"/>
    <w:rsid w:val="453C74BE"/>
    <w:rsid w:val="4546A843"/>
    <w:rsid w:val="4547D608"/>
    <w:rsid w:val="455066B4"/>
    <w:rsid w:val="455140E1"/>
    <w:rsid w:val="4551D136"/>
    <w:rsid w:val="455578B5"/>
    <w:rsid w:val="45609002"/>
    <w:rsid w:val="4565DD29"/>
    <w:rsid w:val="4567115A"/>
    <w:rsid w:val="456A4899"/>
    <w:rsid w:val="458304C8"/>
    <w:rsid w:val="4585EE7B"/>
    <w:rsid w:val="458E4575"/>
    <w:rsid w:val="45908E44"/>
    <w:rsid w:val="459C618B"/>
    <w:rsid w:val="45A11CEA"/>
    <w:rsid w:val="45A80526"/>
    <w:rsid w:val="45B5EEFD"/>
    <w:rsid w:val="45B954F4"/>
    <w:rsid w:val="45BB238E"/>
    <w:rsid w:val="45C5693C"/>
    <w:rsid w:val="45DD2445"/>
    <w:rsid w:val="45ED4B74"/>
    <w:rsid w:val="45EE9242"/>
    <w:rsid w:val="45F52F80"/>
    <w:rsid w:val="46001B04"/>
    <w:rsid w:val="4601E740"/>
    <w:rsid w:val="4602468A"/>
    <w:rsid w:val="4602DCD1"/>
    <w:rsid w:val="46042E2E"/>
    <w:rsid w:val="460B4A3D"/>
    <w:rsid w:val="460DD586"/>
    <w:rsid w:val="46202127"/>
    <w:rsid w:val="4626806D"/>
    <w:rsid w:val="462B2848"/>
    <w:rsid w:val="462CD69D"/>
    <w:rsid w:val="4630D1CE"/>
    <w:rsid w:val="463ABA09"/>
    <w:rsid w:val="463C0C57"/>
    <w:rsid w:val="463C5B05"/>
    <w:rsid w:val="463CC553"/>
    <w:rsid w:val="463E02F7"/>
    <w:rsid w:val="46454719"/>
    <w:rsid w:val="46488C46"/>
    <w:rsid w:val="464D2E8C"/>
    <w:rsid w:val="4652D7A7"/>
    <w:rsid w:val="46574A8C"/>
    <w:rsid w:val="465B0D4E"/>
    <w:rsid w:val="4663514D"/>
    <w:rsid w:val="466BC21E"/>
    <w:rsid w:val="4673F53E"/>
    <w:rsid w:val="467692FC"/>
    <w:rsid w:val="4677AD8E"/>
    <w:rsid w:val="4677B722"/>
    <w:rsid w:val="467B90AC"/>
    <w:rsid w:val="4681468F"/>
    <w:rsid w:val="468FDD6A"/>
    <w:rsid w:val="46A6CFC3"/>
    <w:rsid w:val="46AD172D"/>
    <w:rsid w:val="46BEC084"/>
    <w:rsid w:val="46CCD867"/>
    <w:rsid w:val="46DC498E"/>
    <w:rsid w:val="46DC699E"/>
    <w:rsid w:val="46DCECD0"/>
    <w:rsid w:val="46DF8067"/>
    <w:rsid w:val="46E6D537"/>
    <w:rsid w:val="46E8D1D7"/>
    <w:rsid w:val="46FE3574"/>
    <w:rsid w:val="46FFF370"/>
    <w:rsid w:val="47014447"/>
    <w:rsid w:val="470B3737"/>
    <w:rsid w:val="470D5478"/>
    <w:rsid w:val="472C11EC"/>
    <w:rsid w:val="4732539B"/>
    <w:rsid w:val="473D8CA3"/>
    <w:rsid w:val="474F428F"/>
    <w:rsid w:val="4755C39C"/>
    <w:rsid w:val="475D94D5"/>
    <w:rsid w:val="47638F9B"/>
    <w:rsid w:val="47651A24"/>
    <w:rsid w:val="476F2772"/>
    <w:rsid w:val="4771F62D"/>
    <w:rsid w:val="47744995"/>
    <w:rsid w:val="4776D928"/>
    <w:rsid w:val="477D497F"/>
    <w:rsid w:val="477D95EA"/>
    <w:rsid w:val="47885FCC"/>
    <w:rsid w:val="479155A8"/>
    <w:rsid w:val="4791592E"/>
    <w:rsid w:val="47916AE1"/>
    <w:rsid w:val="4796E2E2"/>
    <w:rsid w:val="47A5F822"/>
    <w:rsid w:val="47BE5908"/>
    <w:rsid w:val="47C5557C"/>
    <w:rsid w:val="47C5B1B0"/>
    <w:rsid w:val="47CBDCB2"/>
    <w:rsid w:val="47D962C9"/>
    <w:rsid w:val="47D9A1C3"/>
    <w:rsid w:val="47E16685"/>
    <w:rsid w:val="47E2587C"/>
    <w:rsid w:val="47E4A80B"/>
    <w:rsid w:val="47E64506"/>
    <w:rsid w:val="47F24E6B"/>
    <w:rsid w:val="47F9CD31"/>
    <w:rsid w:val="47FD2814"/>
    <w:rsid w:val="4809DA47"/>
    <w:rsid w:val="4815230C"/>
    <w:rsid w:val="4820B107"/>
    <w:rsid w:val="4822E711"/>
    <w:rsid w:val="48429B39"/>
    <w:rsid w:val="484D53EF"/>
    <w:rsid w:val="4855624A"/>
    <w:rsid w:val="485B482A"/>
    <w:rsid w:val="4869B87C"/>
    <w:rsid w:val="486BA832"/>
    <w:rsid w:val="4882EB39"/>
    <w:rsid w:val="4885B0D9"/>
    <w:rsid w:val="489138C4"/>
    <w:rsid w:val="489D07B8"/>
    <w:rsid w:val="48A391AA"/>
    <w:rsid w:val="48A9AD3C"/>
    <w:rsid w:val="48AF153F"/>
    <w:rsid w:val="48BA8AB3"/>
    <w:rsid w:val="48BC4185"/>
    <w:rsid w:val="48BE8A7B"/>
    <w:rsid w:val="48D01510"/>
    <w:rsid w:val="48DC9CAD"/>
    <w:rsid w:val="48DDE0CA"/>
    <w:rsid w:val="48E4840F"/>
    <w:rsid w:val="48F010D6"/>
    <w:rsid w:val="48F2D27B"/>
    <w:rsid w:val="48F681B6"/>
    <w:rsid w:val="48F93D55"/>
    <w:rsid w:val="48FA9D01"/>
    <w:rsid w:val="48FBBFBC"/>
    <w:rsid w:val="4906C3A4"/>
    <w:rsid w:val="490A337B"/>
    <w:rsid w:val="490C6355"/>
    <w:rsid w:val="49111552"/>
    <w:rsid w:val="49244AA2"/>
    <w:rsid w:val="49256A6A"/>
    <w:rsid w:val="4925FD0B"/>
    <w:rsid w:val="4929887C"/>
    <w:rsid w:val="49501219"/>
    <w:rsid w:val="49505B48"/>
    <w:rsid w:val="495165CA"/>
    <w:rsid w:val="495C23E7"/>
    <w:rsid w:val="496FA61A"/>
    <w:rsid w:val="4978F1D6"/>
    <w:rsid w:val="4979BC38"/>
    <w:rsid w:val="49807429"/>
    <w:rsid w:val="4990D67A"/>
    <w:rsid w:val="49924AAB"/>
    <w:rsid w:val="499DF8F5"/>
    <w:rsid w:val="49A3E54C"/>
    <w:rsid w:val="49AA4438"/>
    <w:rsid w:val="49AD88A2"/>
    <w:rsid w:val="49AEE8D4"/>
    <w:rsid w:val="49B3184E"/>
    <w:rsid w:val="49B75F3E"/>
    <w:rsid w:val="49BD10A2"/>
    <w:rsid w:val="49C13BE6"/>
    <w:rsid w:val="49C3519A"/>
    <w:rsid w:val="49DAF591"/>
    <w:rsid w:val="49DB66D5"/>
    <w:rsid w:val="49F7B51A"/>
    <w:rsid w:val="4A063DE6"/>
    <w:rsid w:val="4A07F704"/>
    <w:rsid w:val="4A10077F"/>
    <w:rsid w:val="4A18B9F6"/>
    <w:rsid w:val="4A1C0122"/>
    <w:rsid w:val="4A1F61DD"/>
    <w:rsid w:val="4A1FB03C"/>
    <w:rsid w:val="4A214EDD"/>
    <w:rsid w:val="4A2659FA"/>
    <w:rsid w:val="4A2671F7"/>
    <w:rsid w:val="4A296117"/>
    <w:rsid w:val="4A2C1EF2"/>
    <w:rsid w:val="4A301CEB"/>
    <w:rsid w:val="4A33476E"/>
    <w:rsid w:val="4A338B86"/>
    <w:rsid w:val="4A3ABC03"/>
    <w:rsid w:val="4A449335"/>
    <w:rsid w:val="4A499989"/>
    <w:rsid w:val="4A4DF6F2"/>
    <w:rsid w:val="4A5B118E"/>
    <w:rsid w:val="4A8A7886"/>
    <w:rsid w:val="4A8ACC09"/>
    <w:rsid w:val="4A8F65C1"/>
    <w:rsid w:val="4A96713F"/>
    <w:rsid w:val="4A98886F"/>
    <w:rsid w:val="4AA24322"/>
    <w:rsid w:val="4ABC18D1"/>
    <w:rsid w:val="4ABC34C2"/>
    <w:rsid w:val="4ABF8798"/>
    <w:rsid w:val="4ABFDD76"/>
    <w:rsid w:val="4AC402CE"/>
    <w:rsid w:val="4ACF075B"/>
    <w:rsid w:val="4AE361F2"/>
    <w:rsid w:val="4AF0C9E6"/>
    <w:rsid w:val="4B017F84"/>
    <w:rsid w:val="4B1BA645"/>
    <w:rsid w:val="4B249887"/>
    <w:rsid w:val="4B2EF1C0"/>
    <w:rsid w:val="4B31E381"/>
    <w:rsid w:val="4B38DFDD"/>
    <w:rsid w:val="4B3C63DB"/>
    <w:rsid w:val="4B453A41"/>
    <w:rsid w:val="4B521AEC"/>
    <w:rsid w:val="4B53C755"/>
    <w:rsid w:val="4B5C3091"/>
    <w:rsid w:val="4B5F0F51"/>
    <w:rsid w:val="4B642E52"/>
    <w:rsid w:val="4B64DCF5"/>
    <w:rsid w:val="4B653B78"/>
    <w:rsid w:val="4B700E14"/>
    <w:rsid w:val="4B85857B"/>
    <w:rsid w:val="4B900B4F"/>
    <w:rsid w:val="4B967864"/>
    <w:rsid w:val="4B9EE467"/>
    <w:rsid w:val="4BA178D4"/>
    <w:rsid w:val="4BA31DDA"/>
    <w:rsid w:val="4BA40B6B"/>
    <w:rsid w:val="4BA8701C"/>
    <w:rsid w:val="4BAC3E88"/>
    <w:rsid w:val="4BB45771"/>
    <w:rsid w:val="4BB54EDA"/>
    <w:rsid w:val="4BC4A0AC"/>
    <w:rsid w:val="4BCC915B"/>
    <w:rsid w:val="4BD25315"/>
    <w:rsid w:val="4BD5E4B6"/>
    <w:rsid w:val="4BD829B9"/>
    <w:rsid w:val="4BDF6CA5"/>
    <w:rsid w:val="4BE15770"/>
    <w:rsid w:val="4BE42223"/>
    <w:rsid w:val="4BE765E7"/>
    <w:rsid w:val="4BE9FA2D"/>
    <w:rsid w:val="4BF31239"/>
    <w:rsid w:val="4BFD97FA"/>
    <w:rsid w:val="4C010EC9"/>
    <w:rsid w:val="4C0F279D"/>
    <w:rsid w:val="4C1246C3"/>
    <w:rsid w:val="4C220F66"/>
    <w:rsid w:val="4C2907F0"/>
    <w:rsid w:val="4C3974D4"/>
    <w:rsid w:val="4C3C2A65"/>
    <w:rsid w:val="4C4514FE"/>
    <w:rsid w:val="4C4A521A"/>
    <w:rsid w:val="4C4D3684"/>
    <w:rsid w:val="4C5EEBC2"/>
    <w:rsid w:val="4C7BE6E5"/>
    <w:rsid w:val="4C8297BF"/>
    <w:rsid w:val="4C8D87EE"/>
    <w:rsid w:val="4C8FFB52"/>
    <w:rsid w:val="4C969E2F"/>
    <w:rsid w:val="4CA6BC4A"/>
    <w:rsid w:val="4CABA1BB"/>
    <w:rsid w:val="4CB43E2A"/>
    <w:rsid w:val="4CB8047E"/>
    <w:rsid w:val="4CB9A5F7"/>
    <w:rsid w:val="4CC1CE7E"/>
    <w:rsid w:val="4CCB5A5D"/>
    <w:rsid w:val="4CED0642"/>
    <w:rsid w:val="4D0144D1"/>
    <w:rsid w:val="4D044472"/>
    <w:rsid w:val="4D09242B"/>
    <w:rsid w:val="4D1D0228"/>
    <w:rsid w:val="4D2076A0"/>
    <w:rsid w:val="4D264B28"/>
    <w:rsid w:val="4D26DE47"/>
    <w:rsid w:val="4D325A5D"/>
    <w:rsid w:val="4D3AB4C8"/>
    <w:rsid w:val="4D524E87"/>
    <w:rsid w:val="4D53F322"/>
    <w:rsid w:val="4D5B04CA"/>
    <w:rsid w:val="4D5B7C7D"/>
    <w:rsid w:val="4D5E1249"/>
    <w:rsid w:val="4D60795A"/>
    <w:rsid w:val="4D6D5776"/>
    <w:rsid w:val="4D700CA9"/>
    <w:rsid w:val="4D7CB3E4"/>
    <w:rsid w:val="4D84F746"/>
    <w:rsid w:val="4D94DCD3"/>
    <w:rsid w:val="4D966B02"/>
    <w:rsid w:val="4D9B0D72"/>
    <w:rsid w:val="4D9EB848"/>
    <w:rsid w:val="4DBB9440"/>
    <w:rsid w:val="4DBE5E70"/>
    <w:rsid w:val="4DC7CF49"/>
    <w:rsid w:val="4DD5813F"/>
    <w:rsid w:val="4DEB3BE4"/>
    <w:rsid w:val="4DEF6F4E"/>
    <w:rsid w:val="4DF03978"/>
    <w:rsid w:val="4DF0A851"/>
    <w:rsid w:val="4DF1DC05"/>
    <w:rsid w:val="4DF44406"/>
    <w:rsid w:val="4DF459A2"/>
    <w:rsid w:val="4DF6236D"/>
    <w:rsid w:val="4DF89A65"/>
    <w:rsid w:val="4DFE7689"/>
    <w:rsid w:val="4E0D72FC"/>
    <w:rsid w:val="4E0FC6B1"/>
    <w:rsid w:val="4E13582A"/>
    <w:rsid w:val="4E1BC859"/>
    <w:rsid w:val="4E211985"/>
    <w:rsid w:val="4E2B89D9"/>
    <w:rsid w:val="4E3D7F2F"/>
    <w:rsid w:val="4E3DFD2E"/>
    <w:rsid w:val="4E42CAD0"/>
    <w:rsid w:val="4E46AEB3"/>
    <w:rsid w:val="4E48DECD"/>
    <w:rsid w:val="4E4A76DE"/>
    <w:rsid w:val="4E4BAD2C"/>
    <w:rsid w:val="4E4CE558"/>
    <w:rsid w:val="4E5E7507"/>
    <w:rsid w:val="4E6AD4EE"/>
    <w:rsid w:val="4E6EBC4B"/>
    <w:rsid w:val="4E7A9349"/>
    <w:rsid w:val="4E7C3002"/>
    <w:rsid w:val="4E7D3123"/>
    <w:rsid w:val="4E8AA0F9"/>
    <w:rsid w:val="4E8B1156"/>
    <w:rsid w:val="4E8B64E7"/>
    <w:rsid w:val="4E8CB523"/>
    <w:rsid w:val="4E9610EB"/>
    <w:rsid w:val="4E969B17"/>
    <w:rsid w:val="4E9AB707"/>
    <w:rsid w:val="4EA4DAA0"/>
    <w:rsid w:val="4EB0384A"/>
    <w:rsid w:val="4EB0F8B8"/>
    <w:rsid w:val="4EC34422"/>
    <w:rsid w:val="4ECCD88B"/>
    <w:rsid w:val="4EDFDDBA"/>
    <w:rsid w:val="4EEA1480"/>
    <w:rsid w:val="4EEDC8CB"/>
    <w:rsid w:val="4EF04B79"/>
    <w:rsid w:val="4F0461F7"/>
    <w:rsid w:val="4F08DA4D"/>
    <w:rsid w:val="4F0A1988"/>
    <w:rsid w:val="4F0DE71F"/>
    <w:rsid w:val="4F1681FB"/>
    <w:rsid w:val="4F1B8B4F"/>
    <w:rsid w:val="4F1D640C"/>
    <w:rsid w:val="4F23BDA0"/>
    <w:rsid w:val="4F2826FF"/>
    <w:rsid w:val="4F2E92B0"/>
    <w:rsid w:val="4F365DD4"/>
    <w:rsid w:val="4F3B57EC"/>
    <w:rsid w:val="4F469E04"/>
    <w:rsid w:val="4F80D450"/>
    <w:rsid w:val="4F814802"/>
    <w:rsid w:val="4F81B9D9"/>
    <w:rsid w:val="4F871BBA"/>
    <w:rsid w:val="4F8F069A"/>
    <w:rsid w:val="4F91BBFD"/>
    <w:rsid w:val="4F9D6394"/>
    <w:rsid w:val="4FA1AF6F"/>
    <w:rsid w:val="4FB0D762"/>
    <w:rsid w:val="4FB31679"/>
    <w:rsid w:val="4FB4D596"/>
    <w:rsid w:val="4FBE0156"/>
    <w:rsid w:val="4FC2412F"/>
    <w:rsid w:val="4FC65BAD"/>
    <w:rsid w:val="4FC7F32E"/>
    <w:rsid w:val="4FCDB3C9"/>
    <w:rsid w:val="4FD24177"/>
    <w:rsid w:val="4FDB2808"/>
    <w:rsid w:val="4FDBB6DF"/>
    <w:rsid w:val="4FDD7A8C"/>
    <w:rsid w:val="4FE2D148"/>
    <w:rsid w:val="4FEC07AE"/>
    <w:rsid w:val="4FF10EE3"/>
    <w:rsid w:val="4FFF3742"/>
    <w:rsid w:val="5002B4C5"/>
    <w:rsid w:val="501BB062"/>
    <w:rsid w:val="501CE3FF"/>
    <w:rsid w:val="502238F8"/>
    <w:rsid w:val="502517B8"/>
    <w:rsid w:val="5036F672"/>
    <w:rsid w:val="5046D4B1"/>
    <w:rsid w:val="5050EE95"/>
    <w:rsid w:val="5056FF63"/>
    <w:rsid w:val="50667EBC"/>
    <w:rsid w:val="50674501"/>
    <w:rsid w:val="5067DD02"/>
    <w:rsid w:val="5070117F"/>
    <w:rsid w:val="507CD102"/>
    <w:rsid w:val="50839398"/>
    <w:rsid w:val="50921571"/>
    <w:rsid w:val="50922D38"/>
    <w:rsid w:val="509389B1"/>
    <w:rsid w:val="509F485E"/>
    <w:rsid w:val="50A61B26"/>
    <w:rsid w:val="50AA70CB"/>
    <w:rsid w:val="50B188DB"/>
    <w:rsid w:val="50BF5459"/>
    <w:rsid w:val="50C5BB0F"/>
    <w:rsid w:val="50C8C48B"/>
    <w:rsid w:val="50CC5117"/>
    <w:rsid w:val="50CDBDE5"/>
    <w:rsid w:val="50CF49DC"/>
    <w:rsid w:val="50D017AD"/>
    <w:rsid w:val="50E91584"/>
    <w:rsid w:val="50ED233E"/>
    <w:rsid w:val="50ED619C"/>
    <w:rsid w:val="50EEE45F"/>
    <w:rsid w:val="50EFCC2C"/>
    <w:rsid w:val="50F0768B"/>
    <w:rsid w:val="50F50829"/>
    <w:rsid w:val="51063FCD"/>
    <w:rsid w:val="510A3031"/>
    <w:rsid w:val="5112BDFB"/>
    <w:rsid w:val="5114A2F6"/>
    <w:rsid w:val="511817C8"/>
    <w:rsid w:val="511DFC30"/>
    <w:rsid w:val="512073C0"/>
    <w:rsid w:val="512ADD19"/>
    <w:rsid w:val="5135A962"/>
    <w:rsid w:val="513F559C"/>
    <w:rsid w:val="5146D8A9"/>
    <w:rsid w:val="5147A6B7"/>
    <w:rsid w:val="514EDDCD"/>
    <w:rsid w:val="51532E60"/>
    <w:rsid w:val="5159B65F"/>
    <w:rsid w:val="515EC6B0"/>
    <w:rsid w:val="518848CB"/>
    <w:rsid w:val="51A31454"/>
    <w:rsid w:val="51AC68CD"/>
    <w:rsid w:val="51BB63A4"/>
    <w:rsid w:val="51BEB7CA"/>
    <w:rsid w:val="51BF1E94"/>
    <w:rsid w:val="51CD9F55"/>
    <w:rsid w:val="51D7CB3A"/>
    <w:rsid w:val="51FA3A9B"/>
    <w:rsid w:val="51FC01A3"/>
    <w:rsid w:val="51FD686D"/>
    <w:rsid w:val="520412AA"/>
    <w:rsid w:val="5208F313"/>
    <w:rsid w:val="520C6968"/>
    <w:rsid w:val="520F5DBD"/>
    <w:rsid w:val="52268C14"/>
    <w:rsid w:val="522C4846"/>
    <w:rsid w:val="522D19A4"/>
    <w:rsid w:val="5234A2BD"/>
    <w:rsid w:val="5235DFB4"/>
    <w:rsid w:val="52463404"/>
    <w:rsid w:val="52499EC8"/>
    <w:rsid w:val="5258CC84"/>
    <w:rsid w:val="525AFB46"/>
    <w:rsid w:val="525FBB19"/>
    <w:rsid w:val="5266FB93"/>
    <w:rsid w:val="526855E4"/>
    <w:rsid w:val="5273D5EC"/>
    <w:rsid w:val="527EFFE5"/>
    <w:rsid w:val="52849CB2"/>
    <w:rsid w:val="5285A4C2"/>
    <w:rsid w:val="528D7AC6"/>
    <w:rsid w:val="52915445"/>
    <w:rsid w:val="52974051"/>
    <w:rsid w:val="52988892"/>
    <w:rsid w:val="52A0DAF2"/>
    <w:rsid w:val="52A298BD"/>
    <w:rsid w:val="52A573AC"/>
    <w:rsid w:val="52AA12F2"/>
    <w:rsid w:val="52ACC705"/>
    <w:rsid w:val="52AE5614"/>
    <w:rsid w:val="52B2FE1E"/>
    <w:rsid w:val="52B63466"/>
    <w:rsid w:val="52C9C8A9"/>
    <w:rsid w:val="52CFBB45"/>
    <w:rsid w:val="52DE8671"/>
    <w:rsid w:val="52E3B210"/>
    <w:rsid w:val="52F58166"/>
    <w:rsid w:val="52F6219D"/>
    <w:rsid w:val="52FB4E14"/>
    <w:rsid w:val="52FBB16E"/>
    <w:rsid w:val="52FC68D3"/>
    <w:rsid w:val="5303FB56"/>
    <w:rsid w:val="5306100C"/>
    <w:rsid w:val="5307FB0D"/>
    <w:rsid w:val="530B4958"/>
    <w:rsid w:val="53178396"/>
    <w:rsid w:val="531B8B18"/>
    <w:rsid w:val="5322A054"/>
    <w:rsid w:val="53392CF1"/>
    <w:rsid w:val="534759D7"/>
    <w:rsid w:val="534A1C5C"/>
    <w:rsid w:val="5354C81B"/>
    <w:rsid w:val="5355F7F1"/>
    <w:rsid w:val="535E9A4F"/>
    <w:rsid w:val="536459E3"/>
    <w:rsid w:val="5373B493"/>
    <w:rsid w:val="537445F6"/>
    <w:rsid w:val="538894FE"/>
    <w:rsid w:val="5389A764"/>
    <w:rsid w:val="538DBC5B"/>
    <w:rsid w:val="538F770B"/>
    <w:rsid w:val="5393F663"/>
    <w:rsid w:val="5395736C"/>
    <w:rsid w:val="5398901A"/>
    <w:rsid w:val="53993941"/>
    <w:rsid w:val="539CD7DA"/>
    <w:rsid w:val="53B21F80"/>
    <w:rsid w:val="53B52B21"/>
    <w:rsid w:val="53C93173"/>
    <w:rsid w:val="53D1EBD5"/>
    <w:rsid w:val="53DAE6F0"/>
    <w:rsid w:val="53DEB9AF"/>
    <w:rsid w:val="53DEC517"/>
    <w:rsid w:val="53E6995D"/>
    <w:rsid w:val="53F6E811"/>
    <w:rsid w:val="53F75EAF"/>
    <w:rsid w:val="53F978BF"/>
    <w:rsid w:val="5407A868"/>
    <w:rsid w:val="54096540"/>
    <w:rsid w:val="541A54C7"/>
    <w:rsid w:val="541E3E6F"/>
    <w:rsid w:val="542432CB"/>
    <w:rsid w:val="542AB535"/>
    <w:rsid w:val="542F67A9"/>
    <w:rsid w:val="54416F16"/>
    <w:rsid w:val="544A0E8A"/>
    <w:rsid w:val="544AD132"/>
    <w:rsid w:val="544C859D"/>
    <w:rsid w:val="5454BC23"/>
    <w:rsid w:val="5462EB15"/>
    <w:rsid w:val="547FE968"/>
    <w:rsid w:val="54843D34"/>
    <w:rsid w:val="5489CE02"/>
    <w:rsid w:val="5492E1F8"/>
    <w:rsid w:val="54978804"/>
    <w:rsid w:val="5498A8B2"/>
    <w:rsid w:val="549C4988"/>
    <w:rsid w:val="54AA5A48"/>
    <w:rsid w:val="54ABB31D"/>
    <w:rsid w:val="54AC52E2"/>
    <w:rsid w:val="54CF4B1B"/>
    <w:rsid w:val="54D4FD52"/>
    <w:rsid w:val="54D85245"/>
    <w:rsid w:val="54E5DB29"/>
    <w:rsid w:val="54EB4BE3"/>
    <w:rsid w:val="54EE4D17"/>
    <w:rsid w:val="54F7EDFE"/>
    <w:rsid w:val="5501EE20"/>
    <w:rsid w:val="551C4584"/>
    <w:rsid w:val="55256DA7"/>
    <w:rsid w:val="552BB03A"/>
    <w:rsid w:val="552BB43F"/>
    <w:rsid w:val="552D52E8"/>
    <w:rsid w:val="552FA639"/>
    <w:rsid w:val="553398DE"/>
    <w:rsid w:val="553B04BF"/>
    <w:rsid w:val="5556F06E"/>
    <w:rsid w:val="55681AF9"/>
    <w:rsid w:val="55723E8B"/>
    <w:rsid w:val="5573617F"/>
    <w:rsid w:val="5577AD4A"/>
    <w:rsid w:val="557CBDBD"/>
    <w:rsid w:val="558541BC"/>
    <w:rsid w:val="55898D0A"/>
    <w:rsid w:val="5589CBA0"/>
    <w:rsid w:val="559B97F6"/>
    <w:rsid w:val="559E364B"/>
    <w:rsid w:val="55AFDDAE"/>
    <w:rsid w:val="55B02DF2"/>
    <w:rsid w:val="55B2DF21"/>
    <w:rsid w:val="55B72ABF"/>
    <w:rsid w:val="55BAC950"/>
    <w:rsid w:val="55BE910E"/>
    <w:rsid w:val="55BF169F"/>
    <w:rsid w:val="55BF7F78"/>
    <w:rsid w:val="55C54E79"/>
    <w:rsid w:val="55C84D99"/>
    <w:rsid w:val="55CA799D"/>
    <w:rsid w:val="55D08986"/>
    <w:rsid w:val="55D57B9F"/>
    <w:rsid w:val="55D99D02"/>
    <w:rsid w:val="55DC5B69"/>
    <w:rsid w:val="55DD3C30"/>
    <w:rsid w:val="55E76E92"/>
    <w:rsid w:val="55F0F479"/>
    <w:rsid w:val="55F4329A"/>
    <w:rsid w:val="55F6E227"/>
    <w:rsid w:val="56036312"/>
    <w:rsid w:val="5616E388"/>
    <w:rsid w:val="561748BD"/>
    <w:rsid w:val="56340D5E"/>
    <w:rsid w:val="5638B9FB"/>
    <w:rsid w:val="564438F8"/>
    <w:rsid w:val="5645AF6B"/>
    <w:rsid w:val="5646AE83"/>
    <w:rsid w:val="56475FE0"/>
    <w:rsid w:val="56509179"/>
    <w:rsid w:val="565B7E1F"/>
    <w:rsid w:val="565BAC64"/>
    <w:rsid w:val="565D1259"/>
    <w:rsid w:val="565F2C3F"/>
    <w:rsid w:val="56645B60"/>
    <w:rsid w:val="566C52F2"/>
    <w:rsid w:val="567EFAC1"/>
    <w:rsid w:val="5680CAE5"/>
    <w:rsid w:val="5680E8A3"/>
    <w:rsid w:val="568FEB84"/>
    <w:rsid w:val="569CA6CC"/>
    <w:rsid w:val="569E0844"/>
    <w:rsid w:val="56A02070"/>
    <w:rsid w:val="56A66EAA"/>
    <w:rsid w:val="56AD120C"/>
    <w:rsid w:val="56B1B035"/>
    <w:rsid w:val="56BBDAB5"/>
    <w:rsid w:val="56BBE72B"/>
    <w:rsid w:val="56C347C8"/>
    <w:rsid w:val="56C7D7F4"/>
    <w:rsid w:val="56CC4A1B"/>
    <w:rsid w:val="56E14F6F"/>
    <w:rsid w:val="56E319D9"/>
    <w:rsid w:val="56E352C2"/>
    <w:rsid w:val="56EC8300"/>
    <w:rsid w:val="56F17D2B"/>
    <w:rsid w:val="56FA49E1"/>
    <w:rsid w:val="5702B810"/>
    <w:rsid w:val="5703B4E9"/>
    <w:rsid w:val="57043A59"/>
    <w:rsid w:val="570BB4E2"/>
    <w:rsid w:val="570FC8C9"/>
    <w:rsid w:val="5713B63D"/>
    <w:rsid w:val="57186990"/>
    <w:rsid w:val="571C589D"/>
    <w:rsid w:val="57278A4B"/>
    <w:rsid w:val="572B9ADA"/>
    <w:rsid w:val="573CCBE0"/>
    <w:rsid w:val="574FE6AA"/>
    <w:rsid w:val="5753CF2D"/>
    <w:rsid w:val="575766CB"/>
    <w:rsid w:val="575C7609"/>
    <w:rsid w:val="575CFBED"/>
    <w:rsid w:val="57624748"/>
    <w:rsid w:val="57700D3A"/>
    <w:rsid w:val="57843E55"/>
    <w:rsid w:val="57886F27"/>
    <w:rsid w:val="578DB6B2"/>
    <w:rsid w:val="579342C1"/>
    <w:rsid w:val="57970D62"/>
    <w:rsid w:val="57B28843"/>
    <w:rsid w:val="57B8AF4F"/>
    <w:rsid w:val="57C9C778"/>
    <w:rsid w:val="57CD0D7F"/>
    <w:rsid w:val="57D059DC"/>
    <w:rsid w:val="57D63386"/>
    <w:rsid w:val="57D7F9B8"/>
    <w:rsid w:val="57EB02B3"/>
    <w:rsid w:val="57EC86C9"/>
    <w:rsid w:val="57EC9E09"/>
    <w:rsid w:val="57F79C1C"/>
    <w:rsid w:val="5811B4D2"/>
    <w:rsid w:val="58364154"/>
    <w:rsid w:val="5836C355"/>
    <w:rsid w:val="5841409F"/>
    <w:rsid w:val="5843A119"/>
    <w:rsid w:val="58480FD1"/>
    <w:rsid w:val="5852C6DA"/>
    <w:rsid w:val="58566EA5"/>
    <w:rsid w:val="586E4A41"/>
    <w:rsid w:val="586F0A91"/>
    <w:rsid w:val="58732BF4"/>
    <w:rsid w:val="5873E3C9"/>
    <w:rsid w:val="58763973"/>
    <w:rsid w:val="588770E8"/>
    <w:rsid w:val="588D89DD"/>
    <w:rsid w:val="5890CEBF"/>
    <w:rsid w:val="58A590AD"/>
    <w:rsid w:val="58A84B98"/>
    <w:rsid w:val="58A90C84"/>
    <w:rsid w:val="58B1ACF8"/>
    <w:rsid w:val="58B9DB20"/>
    <w:rsid w:val="58C19CAA"/>
    <w:rsid w:val="58C22D47"/>
    <w:rsid w:val="58C58BF9"/>
    <w:rsid w:val="58D58493"/>
    <w:rsid w:val="58E08ADB"/>
    <w:rsid w:val="58E199F7"/>
    <w:rsid w:val="58F4B054"/>
    <w:rsid w:val="58F53E85"/>
    <w:rsid w:val="58F73D19"/>
    <w:rsid w:val="58FDF370"/>
    <w:rsid w:val="5900B5E7"/>
    <w:rsid w:val="59106DBE"/>
    <w:rsid w:val="5912C87B"/>
    <w:rsid w:val="5912E6D9"/>
    <w:rsid w:val="5914F9DA"/>
    <w:rsid w:val="59228EDE"/>
    <w:rsid w:val="59277145"/>
    <w:rsid w:val="5929270B"/>
    <w:rsid w:val="592D338E"/>
    <w:rsid w:val="59367DDE"/>
    <w:rsid w:val="593F9A35"/>
    <w:rsid w:val="594804BF"/>
    <w:rsid w:val="594B6D6C"/>
    <w:rsid w:val="59555CFC"/>
    <w:rsid w:val="596177F2"/>
    <w:rsid w:val="596F45D8"/>
    <w:rsid w:val="59717771"/>
    <w:rsid w:val="5972E8E0"/>
    <w:rsid w:val="597B5230"/>
    <w:rsid w:val="59817F2D"/>
    <w:rsid w:val="5983FBAA"/>
    <w:rsid w:val="59968ACE"/>
    <w:rsid w:val="599B1BD1"/>
    <w:rsid w:val="59A019E2"/>
    <w:rsid w:val="59C09A4B"/>
    <w:rsid w:val="59C5D4B0"/>
    <w:rsid w:val="59C84C48"/>
    <w:rsid w:val="59C875B2"/>
    <w:rsid w:val="59D7E2D1"/>
    <w:rsid w:val="59D9C058"/>
    <w:rsid w:val="59DDCCFE"/>
    <w:rsid w:val="59EA6511"/>
    <w:rsid w:val="59F5CCF9"/>
    <w:rsid w:val="59FFE8FA"/>
    <w:rsid w:val="5A02AB96"/>
    <w:rsid w:val="5A07D2AD"/>
    <w:rsid w:val="5A0E586A"/>
    <w:rsid w:val="5A152E03"/>
    <w:rsid w:val="5A17DA38"/>
    <w:rsid w:val="5A1B4509"/>
    <w:rsid w:val="5A1C9885"/>
    <w:rsid w:val="5A3F8FF3"/>
    <w:rsid w:val="5A40B343"/>
    <w:rsid w:val="5A4A5A94"/>
    <w:rsid w:val="5A600349"/>
    <w:rsid w:val="5A668C3E"/>
    <w:rsid w:val="5A7555FF"/>
    <w:rsid w:val="5A772ABA"/>
    <w:rsid w:val="5A7B50DE"/>
    <w:rsid w:val="5A7DA9FA"/>
    <w:rsid w:val="5A7EFC32"/>
    <w:rsid w:val="5A86DBA6"/>
    <w:rsid w:val="5A967E5E"/>
    <w:rsid w:val="5A9B217B"/>
    <w:rsid w:val="5AB76D25"/>
    <w:rsid w:val="5AC0C4DD"/>
    <w:rsid w:val="5AC96CBB"/>
    <w:rsid w:val="5ACA6EE0"/>
    <w:rsid w:val="5ACFF157"/>
    <w:rsid w:val="5AD00805"/>
    <w:rsid w:val="5AE0514C"/>
    <w:rsid w:val="5AEF74BE"/>
    <w:rsid w:val="5B00E896"/>
    <w:rsid w:val="5B04B986"/>
    <w:rsid w:val="5B0B31BF"/>
    <w:rsid w:val="5B12CB61"/>
    <w:rsid w:val="5B13D85D"/>
    <w:rsid w:val="5B1D0E20"/>
    <w:rsid w:val="5B23CFED"/>
    <w:rsid w:val="5B2B786A"/>
    <w:rsid w:val="5B2DC51F"/>
    <w:rsid w:val="5B38DDE7"/>
    <w:rsid w:val="5B3F6427"/>
    <w:rsid w:val="5B4E076F"/>
    <w:rsid w:val="5B51C2E6"/>
    <w:rsid w:val="5B583EBD"/>
    <w:rsid w:val="5B647AF4"/>
    <w:rsid w:val="5B65CDDF"/>
    <w:rsid w:val="5B70BC27"/>
    <w:rsid w:val="5B70C5A9"/>
    <w:rsid w:val="5B7DF3DB"/>
    <w:rsid w:val="5B8B22C9"/>
    <w:rsid w:val="5B8FADF6"/>
    <w:rsid w:val="5B93E92B"/>
    <w:rsid w:val="5B9411FE"/>
    <w:rsid w:val="5B9581DC"/>
    <w:rsid w:val="5B96D915"/>
    <w:rsid w:val="5BA19962"/>
    <w:rsid w:val="5BA8A314"/>
    <w:rsid w:val="5BA970E3"/>
    <w:rsid w:val="5BABB0A0"/>
    <w:rsid w:val="5BB524C3"/>
    <w:rsid w:val="5BC68D49"/>
    <w:rsid w:val="5BC6BA30"/>
    <w:rsid w:val="5BC6BBF9"/>
    <w:rsid w:val="5BCE4099"/>
    <w:rsid w:val="5BD03344"/>
    <w:rsid w:val="5BDCD801"/>
    <w:rsid w:val="5BE47197"/>
    <w:rsid w:val="5BED969A"/>
    <w:rsid w:val="5BF3A3A0"/>
    <w:rsid w:val="5BF55D41"/>
    <w:rsid w:val="5C043CA5"/>
    <w:rsid w:val="5C09910D"/>
    <w:rsid w:val="5C2852D0"/>
    <w:rsid w:val="5C28877B"/>
    <w:rsid w:val="5C2BA450"/>
    <w:rsid w:val="5C333CA3"/>
    <w:rsid w:val="5C35C574"/>
    <w:rsid w:val="5C3D69CA"/>
    <w:rsid w:val="5C407DC8"/>
    <w:rsid w:val="5C554275"/>
    <w:rsid w:val="5C5A61E8"/>
    <w:rsid w:val="5C67A417"/>
    <w:rsid w:val="5C67B310"/>
    <w:rsid w:val="5C6887FF"/>
    <w:rsid w:val="5C836EAE"/>
    <w:rsid w:val="5C881A2C"/>
    <w:rsid w:val="5C965302"/>
    <w:rsid w:val="5C96D81D"/>
    <w:rsid w:val="5CB61D76"/>
    <w:rsid w:val="5CB8DE81"/>
    <w:rsid w:val="5CBA0B1E"/>
    <w:rsid w:val="5CC27CA1"/>
    <w:rsid w:val="5CD3519F"/>
    <w:rsid w:val="5CD6A659"/>
    <w:rsid w:val="5CE04FEE"/>
    <w:rsid w:val="5CE305A5"/>
    <w:rsid w:val="5CE4649C"/>
    <w:rsid w:val="5CE4C744"/>
    <w:rsid w:val="5CECEF85"/>
    <w:rsid w:val="5CF43F96"/>
    <w:rsid w:val="5CF8D34E"/>
    <w:rsid w:val="5D0358D9"/>
    <w:rsid w:val="5D042758"/>
    <w:rsid w:val="5D12523F"/>
    <w:rsid w:val="5D20EF34"/>
    <w:rsid w:val="5D23D736"/>
    <w:rsid w:val="5D2BABA2"/>
    <w:rsid w:val="5D2E5DF2"/>
    <w:rsid w:val="5D355939"/>
    <w:rsid w:val="5D4789A5"/>
    <w:rsid w:val="5D51AA0B"/>
    <w:rsid w:val="5D52AFF2"/>
    <w:rsid w:val="5D697039"/>
    <w:rsid w:val="5D6E00C5"/>
    <w:rsid w:val="5D70B2C1"/>
    <w:rsid w:val="5D71AE82"/>
    <w:rsid w:val="5D7B006B"/>
    <w:rsid w:val="5D84F3F1"/>
    <w:rsid w:val="5DA59608"/>
    <w:rsid w:val="5DA5D122"/>
    <w:rsid w:val="5DAA8C5E"/>
    <w:rsid w:val="5DB5C7E3"/>
    <w:rsid w:val="5DBB4B07"/>
    <w:rsid w:val="5DBDA106"/>
    <w:rsid w:val="5DBEAFF7"/>
    <w:rsid w:val="5DBFD008"/>
    <w:rsid w:val="5DC175CE"/>
    <w:rsid w:val="5DDE9F44"/>
    <w:rsid w:val="5DE278DD"/>
    <w:rsid w:val="5DFBAADF"/>
    <w:rsid w:val="5DFC2480"/>
    <w:rsid w:val="5DFFCAC4"/>
    <w:rsid w:val="5E0449BE"/>
    <w:rsid w:val="5E1061A2"/>
    <w:rsid w:val="5E17439D"/>
    <w:rsid w:val="5E18CE4E"/>
    <w:rsid w:val="5E223688"/>
    <w:rsid w:val="5E2745B1"/>
    <w:rsid w:val="5E29E4C4"/>
    <w:rsid w:val="5E2C7389"/>
    <w:rsid w:val="5E2C7950"/>
    <w:rsid w:val="5E2DAAB0"/>
    <w:rsid w:val="5E305626"/>
    <w:rsid w:val="5E42EE33"/>
    <w:rsid w:val="5E43397D"/>
    <w:rsid w:val="5E4E8D37"/>
    <w:rsid w:val="5E54AEE2"/>
    <w:rsid w:val="5E62D549"/>
    <w:rsid w:val="5E66B356"/>
    <w:rsid w:val="5E67ED79"/>
    <w:rsid w:val="5E6AFA8F"/>
    <w:rsid w:val="5E6AFDBA"/>
    <w:rsid w:val="5E6C74D1"/>
    <w:rsid w:val="5E727853"/>
    <w:rsid w:val="5E759659"/>
    <w:rsid w:val="5E79BB38"/>
    <w:rsid w:val="5E84A30B"/>
    <w:rsid w:val="5E8AB32F"/>
    <w:rsid w:val="5E8D5382"/>
    <w:rsid w:val="5E8D6F27"/>
    <w:rsid w:val="5E92C00A"/>
    <w:rsid w:val="5EA84F3E"/>
    <w:rsid w:val="5EAF5166"/>
    <w:rsid w:val="5EBAF4E1"/>
    <w:rsid w:val="5EBBB0F4"/>
    <w:rsid w:val="5EC25676"/>
    <w:rsid w:val="5EC53A57"/>
    <w:rsid w:val="5EC58FDB"/>
    <w:rsid w:val="5ED33200"/>
    <w:rsid w:val="5ED68FA2"/>
    <w:rsid w:val="5EE37DB5"/>
    <w:rsid w:val="5EEAB064"/>
    <w:rsid w:val="5EED44B2"/>
    <w:rsid w:val="5EEDB2A9"/>
    <w:rsid w:val="5EF94227"/>
    <w:rsid w:val="5F0B2C37"/>
    <w:rsid w:val="5F144C34"/>
    <w:rsid w:val="5F1E032E"/>
    <w:rsid w:val="5F2E6D7A"/>
    <w:rsid w:val="5F2FFE61"/>
    <w:rsid w:val="5F34F107"/>
    <w:rsid w:val="5F3B9F60"/>
    <w:rsid w:val="5F3BBB0A"/>
    <w:rsid w:val="5F450AC4"/>
    <w:rsid w:val="5F542698"/>
    <w:rsid w:val="5F57FD8B"/>
    <w:rsid w:val="5F5F164F"/>
    <w:rsid w:val="5F609E97"/>
    <w:rsid w:val="5F661245"/>
    <w:rsid w:val="5F69EF81"/>
    <w:rsid w:val="5F7263BB"/>
    <w:rsid w:val="5F7CD259"/>
    <w:rsid w:val="5F7E3827"/>
    <w:rsid w:val="5F830FB0"/>
    <w:rsid w:val="5F837474"/>
    <w:rsid w:val="5F902880"/>
    <w:rsid w:val="5FA47973"/>
    <w:rsid w:val="5FA85995"/>
    <w:rsid w:val="5FA9DC5B"/>
    <w:rsid w:val="5FACC0D9"/>
    <w:rsid w:val="5FB1A460"/>
    <w:rsid w:val="5FC65978"/>
    <w:rsid w:val="5FD2610F"/>
    <w:rsid w:val="5FD60439"/>
    <w:rsid w:val="5FD8C0AB"/>
    <w:rsid w:val="5FDA8A0A"/>
    <w:rsid w:val="5FDABC59"/>
    <w:rsid w:val="5FFBDAFD"/>
    <w:rsid w:val="5FFEFF78"/>
    <w:rsid w:val="60043CCE"/>
    <w:rsid w:val="60076769"/>
    <w:rsid w:val="6007AE7E"/>
    <w:rsid w:val="601CE79D"/>
    <w:rsid w:val="602A0718"/>
    <w:rsid w:val="602BB207"/>
    <w:rsid w:val="602F0827"/>
    <w:rsid w:val="6031EE72"/>
    <w:rsid w:val="605F14CE"/>
    <w:rsid w:val="60682C77"/>
    <w:rsid w:val="607484B6"/>
    <w:rsid w:val="60844E0F"/>
    <w:rsid w:val="608DBB30"/>
    <w:rsid w:val="60920E48"/>
    <w:rsid w:val="60976A64"/>
    <w:rsid w:val="609780E0"/>
    <w:rsid w:val="60A17931"/>
    <w:rsid w:val="60AC6851"/>
    <w:rsid w:val="60B71BFF"/>
    <w:rsid w:val="60B7C014"/>
    <w:rsid w:val="60B954C3"/>
    <w:rsid w:val="60BADA7E"/>
    <w:rsid w:val="60C64BD9"/>
    <w:rsid w:val="60D105B4"/>
    <w:rsid w:val="60D1FC7D"/>
    <w:rsid w:val="60E2A2EB"/>
    <w:rsid w:val="60EA432F"/>
    <w:rsid w:val="60EFA6E0"/>
    <w:rsid w:val="60F2491B"/>
    <w:rsid w:val="60F747A4"/>
    <w:rsid w:val="610D5602"/>
    <w:rsid w:val="6119477B"/>
    <w:rsid w:val="6135ADB1"/>
    <w:rsid w:val="6136EE33"/>
    <w:rsid w:val="61492756"/>
    <w:rsid w:val="6149F198"/>
    <w:rsid w:val="614A7F9E"/>
    <w:rsid w:val="615DDCAA"/>
    <w:rsid w:val="61697F3E"/>
    <w:rsid w:val="61759532"/>
    <w:rsid w:val="6180E93C"/>
    <w:rsid w:val="618BCEFE"/>
    <w:rsid w:val="619811EE"/>
    <w:rsid w:val="619A5545"/>
    <w:rsid w:val="619F36BB"/>
    <w:rsid w:val="61AF2AEA"/>
    <w:rsid w:val="61B59F1A"/>
    <w:rsid w:val="61B9E55D"/>
    <w:rsid w:val="61BFFAAC"/>
    <w:rsid w:val="61C47F5D"/>
    <w:rsid w:val="61CB6762"/>
    <w:rsid w:val="61CC2CA2"/>
    <w:rsid w:val="61DB8418"/>
    <w:rsid w:val="61DF1691"/>
    <w:rsid w:val="6208DAF7"/>
    <w:rsid w:val="6209CE88"/>
    <w:rsid w:val="6215D235"/>
    <w:rsid w:val="621B6132"/>
    <w:rsid w:val="6220B6B7"/>
    <w:rsid w:val="6223DDE2"/>
    <w:rsid w:val="622C1F54"/>
    <w:rsid w:val="622D9A6D"/>
    <w:rsid w:val="6231805B"/>
    <w:rsid w:val="62330372"/>
    <w:rsid w:val="6234D714"/>
    <w:rsid w:val="62356A73"/>
    <w:rsid w:val="62367FF4"/>
    <w:rsid w:val="6244D918"/>
    <w:rsid w:val="62471804"/>
    <w:rsid w:val="624DD0E9"/>
    <w:rsid w:val="6251B683"/>
    <w:rsid w:val="6262EF66"/>
    <w:rsid w:val="62659020"/>
    <w:rsid w:val="626A1A96"/>
    <w:rsid w:val="626CCF41"/>
    <w:rsid w:val="626E1AB0"/>
    <w:rsid w:val="62725032"/>
    <w:rsid w:val="6279072B"/>
    <w:rsid w:val="6280E4DA"/>
    <w:rsid w:val="628E41F8"/>
    <w:rsid w:val="628E6F4B"/>
    <w:rsid w:val="62921D27"/>
    <w:rsid w:val="62921E55"/>
    <w:rsid w:val="6296E70A"/>
    <w:rsid w:val="62AA09CD"/>
    <w:rsid w:val="62B115CD"/>
    <w:rsid w:val="62C57B66"/>
    <w:rsid w:val="62C74F7E"/>
    <w:rsid w:val="62C920A4"/>
    <w:rsid w:val="62C98E80"/>
    <w:rsid w:val="62DAF44F"/>
    <w:rsid w:val="62DBADEE"/>
    <w:rsid w:val="62DD9E6B"/>
    <w:rsid w:val="62E10D56"/>
    <w:rsid w:val="62EB37CB"/>
    <w:rsid w:val="62FEA97D"/>
    <w:rsid w:val="6303BA80"/>
    <w:rsid w:val="6310150A"/>
    <w:rsid w:val="6314F788"/>
    <w:rsid w:val="63160865"/>
    <w:rsid w:val="63184C1E"/>
    <w:rsid w:val="631A1B3A"/>
    <w:rsid w:val="631B24BF"/>
    <w:rsid w:val="63212088"/>
    <w:rsid w:val="6324E0BC"/>
    <w:rsid w:val="6335071D"/>
    <w:rsid w:val="633DC620"/>
    <w:rsid w:val="633FB8E1"/>
    <w:rsid w:val="6346A442"/>
    <w:rsid w:val="634C3C60"/>
    <w:rsid w:val="63502E7F"/>
    <w:rsid w:val="6363697C"/>
    <w:rsid w:val="6368C287"/>
    <w:rsid w:val="63717966"/>
    <w:rsid w:val="63757D5C"/>
    <w:rsid w:val="63785736"/>
    <w:rsid w:val="63839C2C"/>
    <w:rsid w:val="63858F0E"/>
    <w:rsid w:val="638870D5"/>
    <w:rsid w:val="638DD440"/>
    <w:rsid w:val="63974093"/>
    <w:rsid w:val="639A037A"/>
    <w:rsid w:val="63A18E6D"/>
    <w:rsid w:val="63AA41C5"/>
    <w:rsid w:val="63ADF52E"/>
    <w:rsid w:val="63AEED6A"/>
    <w:rsid w:val="63B167D6"/>
    <w:rsid w:val="63BA5828"/>
    <w:rsid w:val="63BD1E2D"/>
    <w:rsid w:val="63C536D2"/>
    <w:rsid w:val="63C68F28"/>
    <w:rsid w:val="63C8317E"/>
    <w:rsid w:val="63D23444"/>
    <w:rsid w:val="63F06578"/>
    <w:rsid w:val="63F56649"/>
    <w:rsid w:val="63F9335E"/>
    <w:rsid w:val="63FB1112"/>
    <w:rsid w:val="640C87EA"/>
    <w:rsid w:val="640DDE48"/>
    <w:rsid w:val="640E57BA"/>
    <w:rsid w:val="641470FE"/>
    <w:rsid w:val="6414DED3"/>
    <w:rsid w:val="641B4D11"/>
    <w:rsid w:val="6425525B"/>
    <w:rsid w:val="643769B2"/>
    <w:rsid w:val="643EE829"/>
    <w:rsid w:val="64445B43"/>
    <w:rsid w:val="644C7571"/>
    <w:rsid w:val="645E702C"/>
    <w:rsid w:val="645F0171"/>
    <w:rsid w:val="64636C63"/>
    <w:rsid w:val="64688DE5"/>
    <w:rsid w:val="6476B68A"/>
    <w:rsid w:val="64828A5E"/>
    <w:rsid w:val="64845B04"/>
    <w:rsid w:val="6489675F"/>
    <w:rsid w:val="648BE791"/>
    <w:rsid w:val="649FC258"/>
    <w:rsid w:val="64A397A0"/>
    <w:rsid w:val="64ADD8DF"/>
    <w:rsid w:val="64B60D78"/>
    <w:rsid w:val="64B79C80"/>
    <w:rsid w:val="64BAB36B"/>
    <w:rsid w:val="64BB8658"/>
    <w:rsid w:val="64C2B86A"/>
    <w:rsid w:val="64C2F20F"/>
    <w:rsid w:val="64C70B74"/>
    <w:rsid w:val="64C954C6"/>
    <w:rsid w:val="64CFBBE7"/>
    <w:rsid w:val="64D897BE"/>
    <w:rsid w:val="64DD04E4"/>
    <w:rsid w:val="64E5B387"/>
    <w:rsid w:val="64E5FC53"/>
    <w:rsid w:val="64F9D843"/>
    <w:rsid w:val="6509BC61"/>
    <w:rsid w:val="65147770"/>
    <w:rsid w:val="65242D9D"/>
    <w:rsid w:val="65361389"/>
    <w:rsid w:val="6536E06A"/>
    <w:rsid w:val="653EB2D1"/>
    <w:rsid w:val="653F5F68"/>
    <w:rsid w:val="6544B344"/>
    <w:rsid w:val="654CAB00"/>
    <w:rsid w:val="65560223"/>
    <w:rsid w:val="6556F25A"/>
    <w:rsid w:val="655A3B42"/>
    <w:rsid w:val="6561F6E5"/>
    <w:rsid w:val="656387CA"/>
    <w:rsid w:val="656444C3"/>
    <w:rsid w:val="656AF43D"/>
    <w:rsid w:val="656C86E2"/>
    <w:rsid w:val="6570CB10"/>
    <w:rsid w:val="657454C9"/>
    <w:rsid w:val="65910AB6"/>
    <w:rsid w:val="659FC3C3"/>
    <w:rsid w:val="65A5BB72"/>
    <w:rsid w:val="65AB6AE6"/>
    <w:rsid w:val="65C5BBB2"/>
    <w:rsid w:val="65CB91F4"/>
    <w:rsid w:val="65D4B2A6"/>
    <w:rsid w:val="65DBCFED"/>
    <w:rsid w:val="65E14F9A"/>
    <w:rsid w:val="65E51114"/>
    <w:rsid w:val="65E6DF7A"/>
    <w:rsid w:val="65E87A19"/>
    <w:rsid w:val="65F12732"/>
    <w:rsid w:val="65F69AFB"/>
    <w:rsid w:val="65FD57F6"/>
    <w:rsid w:val="65FE2624"/>
    <w:rsid w:val="660A7D1F"/>
    <w:rsid w:val="660D485C"/>
    <w:rsid w:val="6610D495"/>
    <w:rsid w:val="6623AC21"/>
    <w:rsid w:val="662B550C"/>
    <w:rsid w:val="66319F49"/>
    <w:rsid w:val="6637F736"/>
    <w:rsid w:val="66408C0D"/>
    <w:rsid w:val="6649A2F2"/>
    <w:rsid w:val="664C2684"/>
    <w:rsid w:val="664F1D94"/>
    <w:rsid w:val="6654B063"/>
    <w:rsid w:val="66586486"/>
    <w:rsid w:val="66618229"/>
    <w:rsid w:val="66651DC8"/>
    <w:rsid w:val="66696AEF"/>
    <w:rsid w:val="6683CA61"/>
    <w:rsid w:val="668555F8"/>
    <w:rsid w:val="6685DEE4"/>
    <w:rsid w:val="6686EDCE"/>
    <w:rsid w:val="6687329D"/>
    <w:rsid w:val="669284E5"/>
    <w:rsid w:val="669E1325"/>
    <w:rsid w:val="669FF810"/>
    <w:rsid w:val="66A2B578"/>
    <w:rsid w:val="66BB069C"/>
    <w:rsid w:val="66BC440F"/>
    <w:rsid w:val="66C0AD28"/>
    <w:rsid w:val="66C34D7D"/>
    <w:rsid w:val="66C7FB7F"/>
    <w:rsid w:val="66CF1F96"/>
    <w:rsid w:val="66E7A96C"/>
    <w:rsid w:val="66EB62FF"/>
    <w:rsid w:val="66F9314E"/>
    <w:rsid w:val="670BFB98"/>
    <w:rsid w:val="671F505F"/>
    <w:rsid w:val="672617AE"/>
    <w:rsid w:val="67276FAC"/>
    <w:rsid w:val="67328189"/>
    <w:rsid w:val="6741A82A"/>
    <w:rsid w:val="67513AAC"/>
    <w:rsid w:val="6751469D"/>
    <w:rsid w:val="67519731"/>
    <w:rsid w:val="675798A7"/>
    <w:rsid w:val="675F31FA"/>
    <w:rsid w:val="6767C0FE"/>
    <w:rsid w:val="676E6917"/>
    <w:rsid w:val="6771C4BB"/>
    <w:rsid w:val="6775318B"/>
    <w:rsid w:val="6781AB3F"/>
    <w:rsid w:val="67874A8F"/>
    <w:rsid w:val="6798C4A4"/>
    <w:rsid w:val="67AB4C32"/>
    <w:rsid w:val="67ADEDF2"/>
    <w:rsid w:val="67AEC7D0"/>
    <w:rsid w:val="67BA57D7"/>
    <w:rsid w:val="67BC45B8"/>
    <w:rsid w:val="67C69B88"/>
    <w:rsid w:val="67C6E1E7"/>
    <w:rsid w:val="67CD75D7"/>
    <w:rsid w:val="67CDB71D"/>
    <w:rsid w:val="67CF998C"/>
    <w:rsid w:val="67D7C621"/>
    <w:rsid w:val="67DC5BC5"/>
    <w:rsid w:val="67E1C7FA"/>
    <w:rsid w:val="67E6D667"/>
    <w:rsid w:val="67E82285"/>
    <w:rsid w:val="68010FC8"/>
    <w:rsid w:val="68014191"/>
    <w:rsid w:val="68066FC5"/>
    <w:rsid w:val="680E76F4"/>
    <w:rsid w:val="68104480"/>
    <w:rsid w:val="681399AF"/>
    <w:rsid w:val="6819B99C"/>
    <w:rsid w:val="681F32E7"/>
    <w:rsid w:val="682571BE"/>
    <w:rsid w:val="6825EEC1"/>
    <w:rsid w:val="68348C33"/>
    <w:rsid w:val="6839CDB5"/>
    <w:rsid w:val="683A2C64"/>
    <w:rsid w:val="6844BB64"/>
    <w:rsid w:val="684866AE"/>
    <w:rsid w:val="68576A6D"/>
    <w:rsid w:val="685C15C0"/>
    <w:rsid w:val="68660B1D"/>
    <w:rsid w:val="686FD05C"/>
    <w:rsid w:val="6872E34C"/>
    <w:rsid w:val="687FBE52"/>
    <w:rsid w:val="68803ADF"/>
    <w:rsid w:val="689F3FB5"/>
    <w:rsid w:val="68A1D067"/>
    <w:rsid w:val="68B75F1C"/>
    <w:rsid w:val="68B8763E"/>
    <w:rsid w:val="68BF9910"/>
    <w:rsid w:val="68C300FB"/>
    <w:rsid w:val="68C47DCA"/>
    <w:rsid w:val="68D60819"/>
    <w:rsid w:val="68D6F2A6"/>
    <w:rsid w:val="68E2794A"/>
    <w:rsid w:val="68ED16FE"/>
    <w:rsid w:val="68F7ADE8"/>
    <w:rsid w:val="68FD5C74"/>
    <w:rsid w:val="6903D018"/>
    <w:rsid w:val="691C7BC2"/>
    <w:rsid w:val="69235C2E"/>
    <w:rsid w:val="692DD48E"/>
    <w:rsid w:val="693098FA"/>
    <w:rsid w:val="69359165"/>
    <w:rsid w:val="693B8289"/>
    <w:rsid w:val="69421E8A"/>
    <w:rsid w:val="694B2BA7"/>
    <w:rsid w:val="6956B9A1"/>
    <w:rsid w:val="695913A3"/>
    <w:rsid w:val="695EC900"/>
    <w:rsid w:val="69626BE9"/>
    <w:rsid w:val="6963B842"/>
    <w:rsid w:val="697916A8"/>
    <w:rsid w:val="697A0EF6"/>
    <w:rsid w:val="6983F2BD"/>
    <w:rsid w:val="698FACB9"/>
    <w:rsid w:val="69968FD6"/>
    <w:rsid w:val="69ABA823"/>
    <w:rsid w:val="69AFCF65"/>
    <w:rsid w:val="69B281D2"/>
    <w:rsid w:val="69B2EC23"/>
    <w:rsid w:val="69B36863"/>
    <w:rsid w:val="69C05237"/>
    <w:rsid w:val="69C1A2EE"/>
    <w:rsid w:val="69CF151D"/>
    <w:rsid w:val="69DC4E3C"/>
    <w:rsid w:val="69E4F1B2"/>
    <w:rsid w:val="69EC6AAA"/>
    <w:rsid w:val="69F0956D"/>
    <w:rsid w:val="69F41B9C"/>
    <w:rsid w:val="69F6ED7D"/>
    <w:rsid w:val="6A01E85E"/>
    <w:rsid w:val="6A02853C"/>
    <w:rsid w:val="6A100EC5"/>
    <w:rsid w:val="6A16FB85"/>
    <w:rsid w:val="6A1D2470"/>
    <w:rsid w:val="6A1D4D4C"/>
    <w:rsid w:val="6A20531A"/>
    <w:rsid w:val="6A273C3E"/>
    <w:rsid w:val="6A35087A"/>
    <w:rsid w:val="6A357912"/>
    <w:rsid w:val="6A3915A0"/>
    <w:rsid w:val="6A39E60A"/>
    <w:rsid w:val="6A41A1B2"/>
    <w:rsid w:val="6A522D2D"/>
    <w:rsid w:val="6A5B8482"/>
    <w:rsid w:val="6A687262"/>
    <w:rsid w:val="6A7349B2"/>
    <w:rsid w:val="6A792C95"/>
    <w:rsid w:val="6A7D1711"/>
    <w:rsid w:val="6A7D393D"/>
    <w:rsid w:val="6A87D515"/>
    <w:rsid w:val="6A8A54A1"/>
    <w:rsid w:val="6A95F9ED"/>
    <w:rsid w:val="6A992CD5"/>
    <w:rsid w:val="6A9F286A"/>
    <w:rsid w:val="6AA298B1"/>
    <w:rsid w:val="6AA5F375"/>
    <w:rsid w:val="6AA7B5AA"/>
    <w:rsid w:val="6AAE78C0"/>
    <w:rsid w:val="6AB581E0"/>
    <w:rsid w:val="6AB78C10"/>
    <w:rsid w:val="6AC873A8"/>
    <w:rsid w:val="6ACC35EC"/>
    <w:rsid w:val="6AD53B69"/>
    <w:rsid w:val="6ADFD6E7"/>
    <w:rsid w:val="6AE0054E"/>
    <w:rsid w:val="6AE22ECB"/>
    <w:rsid w:val="6AF18C1D"/>
    <w:rsid w:val="6AF794F2"/>
    <w:rsid w:val="6B00DDAB"/>
    <w:rsid w:val="6B010D86"/>
    <w:rsid w:val="6B0139BC"/>
    <w:rsid w:val="6B024B17"/>
    <w:rsid w:val="6B02D3EE"/>
    <w:rsid w:val="6B04E7D8"/>
    <w:rsid w:val="6B07E848"/>
    <w:rsid w:val="6B098B07"/>
    <w:rsid w:val="6B180AD4"/>
    <w:rsid w:val="6B191259"/>
    <w:rsid w:val="6B1A84BC"/>
    <w:rsid w:val="6B1B22AA"/>
    <w:rsid w:val="6B27B4CB"/>
    <w:rsid w:val="6B2C11DC"/>
    <w:rsid w:val="6B2EC0EB"/>
    <w:rsid w:val="6B2F7092"/>
    <w:rsid w:val="6B38F6D2"/>
    <w:rsid w:val="6B3C09DD"/>
    <w:rsid w:val="6B3C63F8"/>
    <w:rsid w:val="6B42FFF0"/>
    <w:rsid w:val="6B4B8FAE"/>
    <w:rsid w:val="6B4F5D60"/>
    <w:rsid w:val="6B52CE41"/>
    <w:rsid w:val="6B5FA84B"/>
    <w:rsid w:val="6B61592D"/>
    <w:rsid w:val="6B66AFD9"/>
    <w:rsid w:val="6B68DDAF"/>
    <w:rsid w:val="6B6B72CF"/>
    <w:rsid w:val="6B73788A"/>
    <w:rsid w:val="6B790698"/>
    <w:rsid w:val="6B85A10E"/>
    <w:rsid w:val="6B87C4CC"/>
    <w:rsid w:val="6B8B3CE7"/>
    <w:rsid w:val="6B8E0063"/>
    <w:rsid w:val="6BA14691"/>
    <w:rsid w:val="6BA46CAA"/>
    <w:rsid w:val="6BA516EE"/>
    <w:rsid w:val="6BA72185"/>
    <w:rsid w:val="6BA88A57"/>
    <w:rsid w:val="6BB12D1A"/>
    <w:rsid w:val="6BB7A3BF"/>
    <w:rsid w:val="6BE183B4"/>
    <w:rsid w:val="6BE1DFCD"/>
    <w:rsid w:val="6BE2A57E"/>
    <w:rsid w:val="6BE55F78"/>
    <w:rsid w:val="6BED7E37"/>
    <w:rsid w:val="6BEED78B"/>
    <w:rsid w:val="6BF2024D"/>
    <w:rsid w:val="6BF54A86"/>
    <w:rsid w:val="6BFCCF12"/>
    <w:rsid w:val="6BFFB0A4"/>
    <w:rsid w:val="6C054F5C"/>
    <w:rsid w:val="6C0AA9EA"/>
    <w:rsid w:val="6C121607"/>
    <w:rsid w:val="6C14FCF6"/>
    <w:rsid w:val="6C1A7B57"/>
    <w:rsid w:val="6C346B29"/>
    <w:rsid w:val="6C4530A3"/>
    <w:rsid w:val="6C486B70"/>
    <w:rsid w:val="6C60F97D"/>
    <w:rsid w:val="6C668EF5"/>
    <w:rsid w:val="6C71EFCC"/>
    <w:rsid w:val="6C726C4A"/>
    <w:rsid w:val="6C7CDC8F"/>
    <w:rsid w:val="6C928D4D"/>
    <w:rsid w:val="6C9992E1"/>
    <w:rsid w:val="6C9FE8A5"/>
    <w:rsid w:val="6CA2BA56"/>
    <w:rsid w:val="6CA2EDD9"/>
    <w:rsid w:val="6CAA79DF"/>
    <w:rsid w:val="6CBE97C2"/>
    <w:rsid w:val="6CC53054"/>
    <w:rsid w:val="6CC85B71"/>
    <w:rsid w:val="6CCA0BC7"/>
    <w:rsid w:val="6CCD7631"/>
    <w:rsid w:val="6CCE0202"/>
    <w:rsid w:val="6CD9E640"/>
    <w:rsid w:val="6CDF78B9"/>
    <w:rsid w:val="6CF87704"/>
    <w:rsid w:val="6CF913F6"/>
    <w:rsid w:val="6CFB4CB2"/>
    <w:rsid w:val="6D03E7AB"/>
    <w:rsid w:val="6D16DC04"/>
    <w:rsid w:val="6D1B3B1F"/>
    <w:rsid w:val="6D2604E2"/>
    <w:rsid w:val="6D358BD3"/>
    <w:rsid w:val="6D412E58"/>
    <w:rsid w:val="6D42C455"/>
    <w:rsid w:val="6D4AE605"/>
    <w:rsid w:val="6D5EAEB8"/>
    <w:rsid w:val="6D668270"/>
    <w:rsid w:val="6D6763AA"/>
    <w:rsid w:val="6D807366"/>
    <w:rsid w:val="6D80C8D7"/>
    <w:rsid w:val="6D8CCA3F"/>
    <w:rsid w:val="6D94FBF8"/>
    <w:rsid w:val="6DB14787"/>
    <w:rsid w:val="6DB1E40D"/>
    <w:rsid w:val="6DB337C3"/>
    <w:rsid w:val="6DB57AB5"/>
    <w:rsid w:val="6DBDAB88"/>
    <w:rsid w:val="6DC4E7F0"/>
    <w:rsid w:val="6DC8D980"/>
    <w:rsid w:val="6DC967A8"/>
    <w:rsid w:val="6DCC094C"/>
    <w:rsid w:val="6DCDAB3D"/>
    <w:rsid w:val="6DD77B0B"/>
    <w:rsid w:val="6DD836BC"/>
    <w:rsid w:val="6DDA00B5"/>
    <w:rsid w:val="6DE8C062"/>
    <w:rsid w:val="6DEA82C4"/>
    <w:rsid w:val="6DFD7691"/>
    <w:rsid w:val="6E0AD82B"/>
    <w:rsid w:val="6E11EF2C"/>
    <w:rsid w:val="6E1F0D70"/>
    <w:rsid w:val="6E25FF6D"/>
    <w:rsid w:val="6E262D9C"/>
    <w:rsid w:val="6E2DA184"/>
    <w:rsid w:val="6E307CEA"/>
    <w:rsid w:val="6E32856C"/>
    <w:rsid w:val="6E37FCBD"/>
    <w:rsid w:val="6E38F916"/>
    <w:rsid w:val="6E3C94F7"/>
    <w:rsid w:val="6E3E01A0"/>
    <w:rsid w:val="6E407C82"/>
    <w:rsid w:val="6E410C88"/>
    <w:rsid w:val="6E46E63F"/>
    <w:rsid w:val="6E513105"/>
    <w:rsid w:val="6E536CE9"/>
    <w:rsid w:val="6E5565DD"/>
    <w:rsid w:val="6E55844D"/>
    <w:rsid w:val="6E5A880E"/>
    <w:rsid w:val="6E641CCB"/>
    <w:rsid w:val="6E653EEB"/>
    <w:rsid w:val="6E727B00"/>
    <w:rsid w:val="6E7C5358"/>
    <w:rsid w:val="6E839135"/>
    <w:rsid w:val="6E8B3BED"/>
    <w:rsid w:val="6E8C5D75"/>
    <w:rsid w:val="6E8EDBD3"/>
    <w:rsid w:val="6E8F2C3A"/>
    <w:rsid w:val="6E99BC2B"/>
    <w:rsid w:val="6E9C4EEE"/>
    <w:rsid w:val="6EAF00C4"/>
    <w:rsid w:val="6EAF8295"/>
    <w:rsid w:val="6EB47808"/>
    <w:rsid w:val="6ED23AA9"/>
    <w:rsid w:val="6EE9D7E7"/>
    <w:rsid w:val="6EED1B5E"/>
    <w:rsid w:val="6F1DAD66"/>
    <w:rsid w:val="6F1DD789"/>
    <w:rsid w:val="6F1FBBAE"/>
    <w:rsid w:val="6F228A49"/>
    <w:rsid w:val="6F2F7FF1"/>
    <w:rsid w:val="6F314952"/>
    <w:rsid w:val="6F4AFB7F"/>
    <w:rsid w:val="6F51E1DE"/>
    <w:rsid w:val="6F5C8369"/>
    <w:rsid w:val="6F68C1A4"/>
    <w:rsid w:val="6F722AF4"/>
    <w:rsid w:val="6F762F11"/>
    <w:rsid w:val="6F77F4BB"/>
    <w:rsid w:val="6F78F0D9"/>
    <w:rsid w:val="6F7B4CE5"/>
    <w:rsid w:val="6F7DAC2C"/>
    <w:rsid w:val="6F8A1448"/>
    <w:rsid w:val="6F98144E"/>
    <w:rsid w:val="6F9B6CB9"/>
    <w:rsid w:val="6F9FB908"/>
    <w:rsid w:val="6FA2BE67"/>
    <w:rsid w:val="6FAC2AB9"/>
    <w:rsid w:val="6FAE67A4"/>
    <w:rsid w:val="6FAEE963"/>
    <w:rsid w:val="6FB31BD7"/>
    <w:rsid w:val="6FB82B1A"/>
    <w:rsid w:val="6FBD782C"/>
    <w:rsid w:val="6FCC57CD"/>
    <w:rsid w:val="6FD55CA1"/>
    <w:rsid w:val="6FDA6955"/>
    <w:rsid w:val="6FE12FB9"/>
    <w:rsid w:val="6FEB2AAC"/>
    <w:rsid w:val="6FF04727"/>
    <w:rsid w:val="7001CB7F"/>
    <w:rsid w:val="700F763F"/>
    <w:rsid w:val="70120E31"/>
    <w:rsid w:val="701D4761"/>
    <w:rsid w:val="701D54D1"/>
    <w:rsid w:val="701EFEDD"/>
    <w:rsid w:val="701F5EDF"/>
    <w:rsid w:val="70244CA5"/>
    <w:rsid w:val="702F21EC"/>
    <w:rsid w:val="70397A8A"/>
    <w:rsid w:val="7046DBD3"/>
    <w:rsid w:val="7048AD01"/>
    <w:rsid w:val="70572D0A"/>
    <w:rsid w:val="705A2A3C"/>
    <w:rsid w:val="705C68B6"/>
    <w:rsid w:val="706793A8"/>
    <w:rsid w:val="70708505"/>
    <w:rsid w:val="70802EC8"/>
    <w:rsid w:val="7083BE65"/>
    <w:rsid w:val="7086CFED"/>
    <w:rsid w:val="7087D33D"/>
    <w:rsid w:val="70907334"/>
    <w:rsid w:val="70980C27"/>
    <w:rsid w:val="709971D3"/>
    <w:rsid w:val="709F4F7C"/>
    <w:rsid w:val="70A2B65C"/>
    <w:rsid w:val="70A47BE6"/>
    <w:rsid w:val="70A5B0F4"/>
    <w:rsid w:val="70A8EC5E"/>
    <w:rsid w:val="70A93F1B"/>
    <w:rsid w:val="70AD4535"/>
    <w:rsid w:val="70B071F4"/>
    <w:rsid w:val="70B2E246"/>
    <w:rsid w:val="70B92BF7"/>
    <w:rsid w:val="70C08845"/>
    <w:rsid w:val="70C34551"/>
    <w:rsid w:val="70C57060"/>
    <w:rsid w:val="70CADB87"/>
    <w:rsid w:val="70D217E8"/>
    <w:rsid w:val="70D396DA"/>
    <w:rsid w:val="70D3F75F"/>
    <w:rsid w:val="70D9BA13"/>
    <w:rsid w:val="70E6EC4C"/>
    <w:rsid w:val="70E83953"/>
    <w:rsid w:val="70F65A1F"/>
    <w:rsid w:val="70FB1DE2"/>
    <w:rsid w:val="70FC81E9"/>
    <w:rsid w:val="70FD6961"/>
    <w:rsid w:val="71090A30"/>
    <w:rsid w:val="710D27C9"/>
    <w:rsid w:val="710E2DA9"/>
    <w:rsid w:val="71149C18"/>
    <w:rsid w:val="7120DA87"/>
    <w:rsid w:val="7121714F"/>
    <w:rsid w:val="7125D2B1"/>
    <w:rsid w:val="7125E94F"/>
    <w:rsid w:val="712EA34B"/>
    <w:rsid w:val="713BC8B5"/>
    <w:rsid w:val="71585280"/>
    <w:rsid w:val="7164F255"/>
    <w:rsid w:val="716702E3"/>
    <w:rsid w:val="716B49FD"/>
    <w:rsid w:val="716F20B4"/>
    <w:rsid w:val="719F40F0"/>
    <w:rsid w:val="71AF99C6"/>
    <w:rsid w:val="71BA20FD"/>
    <w:rsid w:val="71C35069"/>
    <w:rsid w:val="71C4CD84"/>
    <w:rsid w:val="71D24E0C"/>
    <w:rsid w:val="71DB898C"/>
    <w:rsid w:val="71E10126"/>
    <w:rsid w:val="71F3C925"/>
    <w:rsid w:val="71FC5DE3"/>
    <w:rsid w:val="7208B090"/>
    <w:rsid w:val="72166CC3"/>
    <w:rsid w:val="721CED03"/>
    <w:rsid w:val="721FB00E"/>
    <w:rsid w:val="72286766"/>
    <w:rsid w:val="7237DC73"/>
    <w:rsid w:val="723C8410"/>
    <w:rsid w:val="725550B0"/>
    <w:rsid w:val="72565030"/>
    <w:rsid w:val="7257F41F"/>
    <w:rsid w:val="7259AF72"/>
    <w:rsid w:val="7262847D"/>
    <w:rsid w:val="726637D1"/>
    <w:rsid w:val="726A8CC4"/>
    <w:rsid w:val="727088C7"/>
    <w:rsid w:val="7276EC77"/>
    <w:rsid w:val="72783657"/>
    <w:rsid w:val="7279112A"/>
    <w:rsid w:val="72996A30"/>
    <w:rsid w:val="72A43EBA"/>
    <w:rsid w:val="72C30C28"/>
    <w:rsid w:val="72D03D24"/>
    <w:rsid w:val="72F2720B"/>
    <w:rsid w:val="72FC3FF8"/>
    <w:rsid w:val="730173F7"/>
    <w:rsid w:val="730659EB"/>
    <w:rsid w:val="73096F81"/>
    <w:rsid w:val="731C1413"/>
    <w:rsid w:val="7322DCEB"/>
    <w:rsid w:val="7339BEB5"/>
    <w:rsid w:val="73433B33"/>
    <w:rsid w:val="7343EF29"/>
    <w:rsid w:val="7355EF71"/>
    <w:rsid w:val="7359D82F"/>
    <w:rsid w:val="735C676C"/>
    <w:rsid w:val="735E2AB3"/>
    <w:rsid w:val="7362FF9A"/>
    <w:rsid w:val="7373C731"/>
    <w:rsid w:val="737D11F2"/>
    <w:rsid w:val="7382AC3F"/>
    <w:rsid w:val="73937615"/>
    <w:rsid w:val="73940540"/>
    <w:rsid w:val="73993122"/>
    <w:rsid w:val="73A2CF70"/>
    <w:rsid w:val="73B2AA85"/>
    <w:rsid w:val="73B7B0B7"/>
    <w:rsid w:val="73C81EC5"/>
    <w:rsid w:val="73D997DF"/>
    <w:rsid w:val="73DA5BD7"/>
    <w:rsid w:val="74079A9C"/>
    <w:rsid w:val="741D143E"/>
    <w:rsid w:val="7422AE3C"/>
    <w:rsid w:val="7426CA3B"/>
    <w:rsid w:val="7427FCB5"/>
    <w:rsid w:val="7428C8BE"/>
    <w:rsid w:val="74308915"/>
    <w:rsid w:val="7432E79D"/>
    <w:rsid w:val="7437460C"/>
    <w:rsid w:val="743D1A28"/>
    <w:rsid w:val="743E5FB5"/>
    <w:rsid w:val="745EB769"/>
    <w:rsid w:val="745F1752"/>
    <w:rsid w:val="7460B89E"/>
    <w:rsid w:val="7466C9A0"/>
    <w:rsid w:val="7467D2E3"/>
    <w:rsid w:val="7468EFC8"/>
    <w:rsid w:val="746A71BA"/>
    <w:rsid w:val="747937C9"/>
    <w:rsid w:val="747ED50D"/>
    <w:rsid w:val="747F86B4"/>
    <w:rsid w:val="7485E0C4"/>
    <w:rsid w:val="748C0461"/>
    <w:rsid w:val="748C54EC"/>
    <w:rsid w:val="74904472"/>
    <w:rsid w:val="74933AF9"/>
    <w:rsid w:val="749512F9"/>
    <w:rsid w:val="749F143A"/>
    <w:rsid w:val="74A130F1"/>
    <w:rsid w:val="74A4A6C0"/>
    <w:rsid w:val="74AA0F2B"/>
    <w:rsid w:val="74AE4D6A"/>
    <w:rsid w:val="74B12C6A"/>
    <w:rsid w:val="74B44B51"/>
    <w:rsid w:val="74B750EF"/>
    <w:rsid w:val="74B91421"/>
    <w:rsid w:val="74B97B82"/>
    <w:rsid w:val="74BA7FF8"/>
    <w:rsid w:val="74BA9167"/>
    <w:rsid w:val="74BC07E9"/>
    <w:rsid w:val="74BF250F"/>
    <w:rsid w:val="74C0AB78"/>
    <w:rsid w:val="74C2D5EF"/>
    <w:rsid w:val="74D9ABB9"/>
    <w:rsid w:val="74DC0084"/>
    <w:rsid w:val="74DC7B5E"/>
    <w:rsid w:val="74DD5305"/>
    <w:rsid w:val="74DD9884"/>
    <w:rsid w:val="74E5F396"/>
    <w:rsid w:val="74E8BC41"/>
    <w:rsid w:val="74EC80CA"/>
    <w:rsid w:val="74F01F09"/>
    <w:rsid w:val="74FBA6B4"/>
    <w:rsid w:val="74FEEB70"/>
    <w:rsid w:val="7501C7CF"/>
    <w:rsid w:val="75022387"/>
    <w:rsid w:val="750C94C9"/>
    <w:rsid w:val="7514EC79"/>
    <w:rsid w:val="751644DE"/>
    <w:rsid w:val="7524D701"/>
    <w:rsid w:val="75349616"/>
    <w:rsid w:val="7539C5BD"/>
    <w:rsid w:val="753C9A74"/>
    <w:rsid w:val="7540DD06"/>
    <w:rsid w:val="7545CDB7"/>
    <w:rsid w:val="7546093A"/>
    <w:rsid w:val="754B1838"/>
    <w:rsid w:val="754F3ADC"/>
    <w:rsid w:val="75562ED4"/>
    <w:rsid w:val="756270AB"/>
    <w:rsid w:val="757CBBAC"/>
    <w:rsid w:val="758119DA"/>
    <w:rsid w:val="7583D4A8"/>
    <w:rsid w:val="75854022"/>
    <w:rsid w:val="758AEE62"/>
    <w:rsid w:val="75B166D0"/>
    <w:rsid w:val="75B6B96A"/>
    <w:rsid w:val="75C1C4DF"/>
    <w:rsid w:val="75C9EE1D"/>
    <w:rsid w:val="75D077AF"/>
    <w:rsid w:val="75D4C78F"/>
    <w:rsid w:val="75DCE210"/>
    <w:rsid w:val="75E962E4"/>
    <w:rsid w:val="75F05B66"/>
    <w:rsid w:val="75FAEE78"/>
    <w:rsid w:val="7607BC14"/>
    <w:rsid w:val="760BB5A6"/>
    <w:rsid w:val="7619E9D9"/>
    <w:rsid w:val="762501F1"/>
    <w:rsid w:val="7627D4BD"/>
    <w:rsid w:val="762A1F28"/>
    <w:rsid w:val="7634C879"/>
    <w:rsid w:val="76366B3A"/>
    <w:rsid w:val="763CA6AA"/>
    <w:rsid w:val="763EB18E"/>
    <w:rsid w:val="763ED745"/>
    <w:rsid w:val="763F3DE3"/>
    <w:rsid w:val="7643ABAD"/>
    <w:rsid w:val="7658B96E"/>
    <w:rsid w:val="765CA779"/>
    <w:rsid w:val="7666D7AC"/>
    <w:rsid w:val="7668BE89"/>
    <w:rsid w:val="766EBED7"/>
    <w:rsid w:val="766F2A97"/>
    <w:rsid w:val="76757199"/>
    <w:rsid w:val="7676FB1E"/>
    <w:rsid w:val="7679972B"/>
    <w:rsid w:val="767A435A"/>
    <w:rsid w:val="767C57D9"/>
    <w:rsid w:val="767E161F"/>
    <w:rsid w:val="767E1DA8"/>
    <w:rsid w:val="768034A5"/>
    <w:rsid w:val="7680CF03"/>
    <w:rsid w:val="7685B1FE"/>
    <w:rsid w:val="7688A7E7"/>
    <w:rsid w:val="7697932C"/>
    <w:rsid w:val="7698EC71"/>
    <w:rsid w:val="769ADD3F"/>
    <w:rsid w:val="769FD20D"/>
    <w:rsid w:val="76A4F91F"/>
    <w:rsid w:val="76BAFF06"/>
    <w:rsid w:val="76C03B8B"/>
    <w:rsid w:val="76C29800"/>
    <w:rsid w:val="76C63BEF"/>
    <w:rsid w:val="76E1D3FE"/>
    <w:rsid w:val="76F06C89"/>
    <w:rsid w:val="76F9107E"/>
    <w:rsid w:val="7710A7FB"/>
    <w:rsid w:val="7717CB4F"/>
    <w:rsid w:val="771917F3"/>
    <w:rsid w:val="772013D5"/>
    <w:rsid w:val="7722A698"/>
    <w:rsid w:val="772D861E"/>
    <w:rsid w:val="77306747"/>
    <w:rsid w:val="77345A0E"/>
    <w:rsid w:val="773F32BF"/>
    <w:rsid w:val="773FAFD8"/>
    <w:rsid w:val="7744C5FD"/>
    <w:rsid w:val="77484C57"/>
    <w:rsid w:val="774A45D9"/>
    <w:rsid w:val="7750F227"/>
    <w:rsid w:val="77535289"/>
    <w:rsid w:val="775A1EC0"/>
    <w:rsid w:val="776789BB"/>
    <w:rsid w:val="7768FCC0"/>
    <w:rsid w:val="776F34BF"/>
    <w:rsid w:val="7770487F"/>
    <w:rsid w:val="777143DA"/>
    <w:rsid w:val="7773C775"/>
    <w:rsid w:val="77800B07"/>
    <w:rsid w:val="77874067"/>
    <w:rsid w:val="778A8ADD"/>
    <w:rsid w:val="778E1022"/>
    <w:rsid w:val="779E1162"/>
    <w:rsid w:val="77AFC55F"/>
    <w:rsid w:val="77B5BA3A"/>
    <w:rsid w:val="77BA6402"/>
    <w:rsid w:val="77CE43FE"/>
    <w:rsid w:val="77D5F2C3"/>
    <w:rsid w:val="77D7B7DF"/>
    <w:rsid w:val="77F4C334"/>
    <w:rsid w:val="77F725A5"/>
    <w:rsid w:val="77F8AFCB"/>
    <w:rsid w:val="77FE285D"/>
    <w:rsid w:val="78033AF7"/>
    <w:rsid w:val="780A7EA6"/>
    <w:rsid w:val="780C5E0C"/>
    <w:rsid w:val="7810EE14"/>
    <w:rsid w:val="7813BB0F"/>
    <w:rsid w:val="78156F7F"/>
    <w:rsid w:val="781DA9F2"/>
    <w:rsid w:val="7824D89A"/>
    <w:rsid w:val="7825F52D"/>
    <w:rsid w:val="78376BE9"/>
    <w:rsid w:val="783D25A7"/>
    <w:rsid w:val="7842B1A0"/>
    <w:rsid w:val="784C3397"/>
    <w:rsid w:val="784E4A30"/>
    <w:rsid w:val="78563A45"/>
    <w:rsid w:val="785B10A2"/>
    <w:rsid w:val="785E5B54"/>
    <w:rsid w:val="787254AB"/>
    <w:rsid w:val="787754DF"/>
    <w:rsid w:val="78869D87"/>
    <w:rsid w:val="788DD5C5"/>
    <w:rsid w:val="788F114B"/>
    <w:rsid w:val="7890170E"/>
    <w:rsid w:val="78A51CE3"/>
    <w:rsid w:val="78AB1E30"/>
    <w:rsid w:val="78AB35C0"/>
    <w:rsid w:val="78AF1851"/>
    <w:rsid w:val="78B0FC7A"/>
    <w:rsid w:val="78B7415D"/>
    <w:rsid w:val="78C1CC12"/>
    <w:rsid w:val="78C49ADC"/>
    <w:rsid w:val="78D1F00D"/>
    <w:rsid w:val="78DFAE04"/>
    <w:rsid w:val="78E258A3"/>
    <w:rsid w:val="78E772AF"/>
    <w:rsid w:val="78EA3D9E"/>
    <w:rsid w:val="78EE8824"/>
    <w:rsid w:val="78F48336"/>
    <w:rsid w:val="78F59F37"/>
    <w:rsid w:val="78F6B294"/>
    <w:rsid w:val="78FA3123"/>
    <w:rsid w:val="7901EB05"/>
    <w:rsid w:val="7905C376"/>
    <w:rsid w:val="790AB941"/>
    <w:rsid w:val="790D42F7"/>
    <w:rsid w:val="790DB64D"/>
    <w:rsid w:val="792EAA27"/>
    <w:rsid w:val="794206E9"/>
    <w:rsid w:val="794D00A9"/>
    <w:rsid w:val="7952A24C"/>
    <w:rsid w:val="7961DBCA"/>
    <w:rsid w:val="79666022"/>
    <w:rsid w:val="796C2EEB"/>
    <w:rsid w:val="79708D6B"/>
    <w:rsid w:val="7971F8F7"/>
    <w:rsid w:val="7986C0A9"/>
    <w:rsid w:val="798E8A22"/>
    <w:rsid w:val="7992C676"/>
    <w:rsid w:val="799ED994"/>
    <w:rsid w:val="79A3370C"/>
    <w:rsid w:val="79A53F70"/>
    <w:rsid w:val="79B160B5"/>
    <w:rsid w:val="79B62F0B"/>
    <w:rsid w:val="79CAE0DE"/>
    <w:rsid w:val="79CB915A"/>
    <w:rsid w:val="79D66538"/>
    <w:rsid w:val="79D817EB"/>
    <w:rsid w:val="79DBB8F9"/>
    <w:rsid w:val="79E30635"/>
    <w:rsid w:val="79EC508D"/>
    <w:rsid w:val="79EE1AD4"/>
    <w:rsid w:val="79EEE45E"/>
    <w:rsid w:val="79F85BC4"/>
    <w:rsid w:val="79FDFFE8"/>
    <w:rsid w:val="7A0B99DA"/>
    <w:rsid w:val="7A1EB257"/>
    <w:rsid w:val="7A33058D"/>
    <w:rsid w:val="7A3BDAFF"/>
    <w:rsid w:val="7A45B950"/>
    <w:rsid w:val="7A498559"/>
    <w:rsid w:val="7A4EBA94"/>
    <w:rsid w:val="7A58ED05"/>
    <w:rsid w:val="7A5CB9A0"/>
    <w:rsid w:val="7A63C72D"/>
    <w:rsid w:val="7A68F654"/>
    <w:rsid w:val="7A6A932C"/>
    <w:rsid w:val="7A6CC3D4"/>
    <w:rsid w:val="7A76DF38"/>
    <w:rsid w:val="7A84D32E"/>
    <w:rsid w:val="7A877C63"/>
    <w:rsid w:val="7A8E9337"/>
    <w:rsid w:val="7A94E0E7"/>
    <w:rsid w:val="7A9B0F62"/>
    <w:rsid w:val="7AA22A60"/>
    <w:rsid w:val="7AA287F5"/>
    <w:rsid w:val="7AAF9E0A"/>
    <w:rsid w:val="7AB62AF4"/>
    <w:rsid w:val="7ABE342C"/>
    <w:rsid w:val="7AC4C5CE"/>
    <w:rsid w:val="7ACE20D2"/>
    <w:rsid w:val="7ADC800C"/>
    <w:rsid w:val="7AE703CB"/>
    <w:rsid w:val="7AE75BEE"/>
    <w:rsid w:val="7AEDCDBE"/>
    <w:rsid w:val="7AF80CB3"/>
    <w:rsid w:val="7AFDDB8A"/>
    <w:rsid w:val="7B1D781E"/>
    <w:rsid w:val="7B20C9F2"/>
    <w:rsid w:val="7B2788B3"/>
    <w:rsid w:val="7B2EECE8"/>
    <w:rsid w:val="7B33E741"/>
    <w:rsid w:val="7B3EB84F"/>
    <w:rsid w:val="7B40196F"/>
    <w:rsid w:val="7B450ECA"/>
    <w:rsid w:val="7B5255C5"/>
    <w:rsid w:val="7B5401E5"/>
    <w:rsid w:val="7B55BC00"/>
    <w:rsid w:val="7B595BAC"/>
    <w:rsid w:val="7B62F706"/>
    <w:rsid w:val="7B6DB0A3"/>
    <w:rsid w:val="7B74BF52"/>
    <w:rsid w:val="7B7A3A68"/>
    <w:rsid w:val="7B7F04BB"/>
    <w:rsid w:val="7B80076B"/>
    <w:rsid w:val="7B972772"/>
    <w:rsid w:val="7BA1AD05"/>
    <w:rsid w:val="7BA60889"/>
    <w:rsid w:val="7BA6133C"/>
    <w:rsid w:val="7BADD603"/>
    <w:rsid w:val="7BBA0427"/>
    <w:rsid w:val="7BD18A00"/>
    <w:rsid w:val="7BDC0293"/>
    <w:rsid w:val="7BDDC622"/>
    <w:rsid w:val="7BDDDBF7"/>
    <w:rsid w:val="7BEEBF09"/>
    <w:rsid w:val="7C0B9D52"/>
    <w:rsid w:val="7C1B1074"/>
    <w:rsid w:val="7C20362A"/>
    <w:rsid w:val="7C204296"/>
    <w:rsid w:val="7C233654"/>
    <w:rsid w:val="7C266F8A"/>
    <w:rsid w:val="7C35599E"/>
    <w:rsid w:val="7C3DFAC1"/>
    <w:rsid w:val="7C41F5D5"/>
    <w:rsid w:val="7C435BD9"/>
    <w:rsid w:val="7C43704B"/>
    <w:rsid w:val="7C504CF8"/>
    <w:rsid w:val="7C50BFB3"/>
    <w:rsid w:val="7C55430E"/>
    <w:rsid w:val="7C580671"/>
    <w:rsid w:val="7C69E92A"/>
    <w:rsid w:val="7C806706"/>
    <w:rsid w:val="7C8A52E8"/>
    <w:rsid w:val="7C911961"/>
    <w:rsid w:val="7C991EF4"/>
    <w:rsid w:val="7C9D545C"/>
    <w:rsid w:val="7CA929DF"/>
    <w:rsid w:val="7CAC8AE2"/>
    <w:rsid w:val="7CAEB9AA"/>
    <w:rsid w:val="7CB736D4"/>
    <w:rsid w:val="7CB78A8F"/>
    <w:rsid w:val="7CBDFF28"/>
    <w:rsid w:val="7CC23D55"/>
    <w:rsid w:val="7CD1E4E7"/>
    <w:rsid w:val="7CD58094"/>
    <w:rsid w:val="7CD82652"/>
    <w:rsid w:val="7CDB4291"/>
    <w:rsid w:val="7CE9A7EA"/>
    <w:rsid w:val="7CEAC73A"/>
    <w:rsid w:val="7CED4571"/>
    <w:rsid w:val="7CF5DF9F"/>
    <w:rsid w:val="7CF64F11"/>
    <w:rsid w:val="7D19E11E"/>
    <w:rsid w:val="7D1F0179"/>
    <w:rsid w:val="7D1F1F24"/>
    <w:rsid w:val="7D2160AC"/>
    <w:rsid w:val="7D21F0F5"/>
    <w:rsid w:val="7D25BB96"/>
    <w:rsid w:val="7D263A3B"/>
    <w:rsid w:val="7D29F091"/>
    <w:rsid w:val="7D2B6DA2"/>
    <w:rsid w:val="7D3AA00E"/>
    <w:rsid w:val="7D3F4A09"/>
    <w:rsid w:val="7D44D369"/>
    <w:rsid w:val="7D552D5C"/>
    <w:rsid w:val="7D557E7D"/>
    <w:rsid w:val="7D55DA89"/>
    <w:rsid w:val="7D58B41D"/>
    <w:rsid w:val="7D5D1C0C"/>
    <w:rsid w:val="7D6ED8EF"/>
    <w:rsid w:val="7D700F1F"/>
    <w:rsid w:val="7D76267D"/>
    <w:rsid w:val="7D77F04F"/>
    <w:rsid w:val="7D7987A6"/>
    <w:rsid w:val="7D7C9ABC"/>
    <w:rsid w:val="7D851A34"/>
    <w:rsid w:val="7D852711"/>
    <w:rsid w:val="7D864E09"/>
    <w:rsid w:val="7D95F634"/>
    <w:rsid w:val="7D97D2AA"/>
    <w:rsid w:val="7DA13B5A"/>
    <w:rsid w:val="7DA70141"/>
    <w:rsid w:val="7DB8EB2B"/>
    <w:rsid w:val="7DBF22B8"/>
    <w:rsid w:val="7DBF5EB2"/>
    <w:rsid w:val="7DC71127"/>
    <w:rsid w:val="7DCE1AA9"/>
    <w:rsid w:val="7DD32FF5"/>
    <w:rsid w:val="7DE0059E"/>
    <w:rsid w:val="7DFBEF11"/>
    <w:rsid w:val="7E09F775"/>
    <w:rsid w:val="7E101C42"/>
    <w:rsid w:val="7E1557D6"/>
    <w:rsid w:val="7E23F507"/>
    <w:rsid w:val="7E2E85AE"/>
    <w:rsid w:val="7E2EC35F"/>
    <w:rsid w:val="7E324DCF"/>
    <w:rsid w:val="7E329FB2"/>
    <w:rsid w:val="7E379B32"/>
    <w:rsid w:val="7E3D0538"/>
    <w:rsid w:val="7E4576AA"/>
    <w:rsid w:val="7E45B184"/>
    <w:rsid w:val="7E481512"/>
    <w:rsid w:val="7E48536F"/>
    <w:rsid w:val="7E4FAC06"/>
    <w:rsid w:val="7E50E627"/>
    <w:rsid w:val="7E612D40"/>
    <w:rsid w:val="7E64CEC9"/>
    <w:rsid w:val="7E7F4CE6"/>
    <w:rsid w:val="7E7F6280"/>
    <w:rsid w:val="7E888DF3"/>
    <w:rsid w:val="7E8F12B2"/>
    <w:rsid w:val="7E96F657"/>
    <w:rsid w:val="7E997452"/>
    <w:rsid w:val="7E9D9997"/>
    <w:rsid w:val="7EA4C8DE"/>
    <w:rsid w:val="7EB125ED"/>
    <w:rsid w:val="7EB9C5AC"/>
    <w:rsid w:val="7EB9E869"/>
    <w:rsid w:val="7EC7E8E7"/>
    <w:rsid w:val="7EC88684"/>
    <w:rsid w:val="7ECC840E"/>
    <w:rsid w:val="7ECDCA5C"/>
    <w:rsid w:val="7ECF4294"/>
    <w:rsid w:val="7ED1AF3D"/>
    <w:rsid w:val="7ED3B86C"/>
    <w:rsid w:val="7EDA247A"/>
    <w:rsid w:val="7EDBE05D"/>
    <w:rsid w:val="7EDCA7AF"/>
    <w:rsid w:val="7EDE6804"/>
    <w:rsid w:val="7EDEAF39"/>
    <w:rsid w:val="7EE4A6DB"/>
    <w:rsid w:val="7EE76D02"/>
    <w:rsid w:val="7EE9F925"/>
    <w:rsid w:val="7EF46099"/>
    <w:rsid w:val="7EFB7A86"/>
    <w:rsid w:val="7F08C568"/>
    <w:rsid w:val="7F2C480C"/>
    <w:rsid w:val="7F2E1F7F"/>
    <w:rsid w:val="7F3D37A5"/>
    <w:rsid w:val="7F5196BA"/>
    <w:rsid w:val="7F5E9620"/>
    <w:rsid w:val="7F615F59"/>
    <w:rsid w:val="7F634C3E"/>
    <w:rsid w:val="7F636940"/>
    <w:rsid w:val="7F65A523"/>
    <w:rsid w:val="7F6F80FD"/>
    <w:rsid w:val="7F7724DF"/>
    <w:rsid w:val="7F7B7778"/>
    <w:rsid w:val="7F88FC9F"/>
    <w:rsid w:val="7F894EF0"/>
    <w:rsid w:val="7F8E67B9"/>
    <w:rsid w:val="7F968680"/>
    <w:rsid w:val="7F99EAEF"/>
    <w:rsid w:val="7F9A67E4"/>
    <w:rsid w:val="7FA09F62"/>
    <w:rsid w:val="7FAA7F48"/>
    <w:rsid w:val="7FB57CE9"/>
    <w:rsid w:val="7FB7CE39"/>
    <w:rsid w:val="7FB96382"/>
    <w:rsid w:val="7FC2A085"/>
    <w:rsid w:val="7FC54D99"/>
    <w:rsid w:val="7FC74A49"/>
    <w:rsid w:val="7FD0A763"/>
    <w:rsid w:val="7FD7A969"/>
    <w:rsid w:val="7FFB48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9462D"/>
  <w15:docId w15:val="{013AEE6F-ED3D-4CD2-A24A-C30C59B5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503"/>
    <w:rPr>
      <w:rFonts w:ascii="Arial" w:hAnsi="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bCs/>
      <w:sz w:val="20"/>
      <w:szCs w:val="20"/>
    </w:rPr>
  </w:style>
  <w:style w:type="character" w:styleId="PageNumber">
    <w:name w:val="page number"/>
    <w:basedOn w:val="DefaultParagraphFont"/>
  </w:style>
  <w:style w:type="character" w:styleId="Hyperlink">
    <w:name w:val="Hyperlink"/>
    <w:rsid w:val="00713675"/>
    <w:rPr>
      <w:color w:val="0000FF"/>
      <w:u w:val="single"/>
    </w:rPr>
  </w:style>
  <w:style w:type="table" w:styleId="TableGrid">
    <w:name w:val="Table Grid"/>
    <w:basedOn w:val="TableNormal"/>
    <w:uiPriority w:val="39"/>
    <w:rsid w:val="005123E7"/>
    <w:tblPr/>
  </w:style>
  <w:style w:type="paragraph" w:styleId="BodyText2">
    <w:name w:val="Body Text 2"/>
    <w:basedOn w:val="Normal"/>
    <w:rsid w:val="00F6001D"/>
    <w:pPr>
      <w:spacing w:after="120" w:line="480" w:lineRule="auto"/>
    </w:pPr>
    <w:rPr>
      <w:sz w:val="22"/>
    </w:rPr>
  </w:style>
  <w:style w:type="paragraph" w:customStyle="1" w:styleId="StyleBodyTextBoldItalicBlue">
    <w:name w:val="Style Body Text + Bold Italic Blue"/>
    <w:basedOn w:val="Normal"/>
    <w:link w:val="StyleBodyTextBoldItalicBlueChar"/>
    <w:rsid w:val="0029333C"/>
    <w:pPr>
      <w:widowControl w:val="0"/>
      <w:spacing w:line="240" w:lineRule="atLeast"/>
    </w:pPr>
    <w:rPr>
      <w:rFonts w:eastAsia="Times"/>
      <w:b/>
      <w:bCs/>
      <w:i/>
      <w:iCs/>
      <w:color w:val="0000FF"/>
      <w:sz w:val="20"/>
      <w:szCs w:val="20"/>
      <w:lang w:eastAsia="en-GB"/>
    </w:rPr>
  </w:style>
  <w:style w:type="character" w:customStyle="1" w:styleId="StyleBodyTextBoldItalicBlueChar">
    <w:name w:val="Style Body Text + Bold Italic Blue Char"/>
    <w:link w:val="StyleBodyTextBoldItalicBlue"/>
    <w:rsid w:val="0029333C"/>
    <w:rPr>
      <w:rFonts w:ascii="Arial" w:eastAsia="Times" w:hAnsi="Arial"/>
      <w:b/>
      <w:bCs/>
      <w:i/>
      <w:iCs/>
      <w:color w:val="0000FF"/>
      <w:lang w:val="en-GB" w:eastAsia="en-GB" w:bidi="ar-SA"/>
    </w:rPr>
  </w:style>
  <w:style w:type="paragraph" w:customStyle="1" w:styleId="arial">
    <w:name w:val="arial"/>
    <w:aliases w:val="12"/>
    <w:basedOn w:val="Normal"/>
    <w:rsid w:val="00A82382"/>
    <w:rPr>
      <w:rFonts w:ascii="Calibri" w:hAnsi="Calibri"/>
      <w:sz w:val="20"/>
      <w:szCs w:val="20"/>
    </w:rPr>
  </w:style>
  <w:style w:type="paragraph" w:styleId="FootnoteText">
    <w:name w:val="footnote text"/>
    <w:basedOn w:val="Normal"/>
    <w:semiHidden/>
    <w:rsid w:val="00A82382"/>
    <w:rPr>
      <w:sz w:val="20"/>
      <w:szCs w:val="20"/>
    </w:rPr>
  </w:style>
  <w:style w:type="character" w:styleId="FootnoteReference">
    <w:name w:val="footnote reference"/>
    <w:semiHidden/>
    <w:rsid w:val="00A82382"/>
    <w:rPr>
      <w:vertAlign w:val="superscript"/>
    </w:rPr>
  </w:style>
  <w:style w:type="paragraph" w:styleId="BodyTextIndent">
    <w:name w:val="Body Text Indent"/>
    <w:basedOn w:val="Normal"/>
    <w:rsid w:val="00227495"/>
    <w:pPr>
      <w:spacing w:after="120"/>
      <w:ind w:left="283"/>
    </w:pPr>
  </w:style>
  <w:style w:type="paragraph" w:customStyle="1" w:styleId="Default">
    <w:name w:val="Default"/>
    <w:rsid w:val="007C30F5"/>
    <w:pPr>
      <w:autoSpaceDE w:val="0"/>
      <w:autoSpaceDN w:val="0"/>
      <w:adjustRightInd w:val="0"/>
    </w:pPr>
    <w:rPr>
      <w:rFonts w:ascii="Arial" w:hAnsi="Arial" w:cs="Arial"/>
      <w:color w:val="000000"/>
      <w:sz w:val="24"/>
      <w:szCs w:val="24"/>
      <w:lang w:val="en-US" w:eastAsia="en-US"/>
    </w:rPr>
  </w:style>
  <w:style w:type="paragraph" w:customStyle="1" w:styleId="Pa12">
    <w:name w:val="Pa12"/>
    <w:basedOn w:val="Default"/>
    <w:next w:val="Default"/>
    <w:rsid w:val="00B6386C"/>
    <w:pPr>
      <w:spacing w:line="221" w:lineRule="atLeast"/>
    </w:pPr>
    <w:rPr>
      <w:rFonts w:ascii="FS Me" w:hAnsi="FS Me" w:cs="Times New Roman"/>
      <w:color w:val="auto"/>
      <w:lang w:val="en-GB" w:eastAsia="en-GB"/>
    </w:rPr>
  </w:style>
  <w:style w:type="character" w:customStyle="1" w:styleId="A5">
    <w:name w:val="A5"/>
    <w:rsid w:val="00B6386C"/>
    <w:rPr>
      <w:rFonts w:cs="FS Me"/>
      <w:color w:val="000000"/>
      <w:sz w:val="22"/>
      <w:szCs w:val="22"/>
    </w:rPr>
  </w:style>
  <w:style w:type="character" w:styleId="Emphasis">
    <w:name w:val="Emphasis"/>
    <w:qFormat/>
    <w:rsid w:val="00641E2E"/>
    <w:rPr>
      <w:i/>
      <w:iCs/>
    </w:rPr>
  </w:style>
  <w:style w:type="table" w:customStyle="1" w:styleId="TableGrid1">
    <w:name w:val="Table Grid1"/>
    <w:basedOn w:val="TableNormal"/>
    <w:next w:val="TableGrid"/>
    <w:uiPriority w:val="59"/>
    <w:rsid w:val="008163BD"/>
    <w:rPr>
      <w:rFonts w:ascii="Calibri" w:eastAsia="Calibri" w:hAnsi="Calibri"/>
      <w:sz w:val="22"/>
      <w:szCs w:val="22"/>
      <w:lang w:eastAsia="en-US"/>
    </w:rPr>
    <w:tblPr/>
  </w:style>
  <w:style w:type="paragraph" w:styleId="ListParagraph">
    <w:name w:val="List Paragraph"/>
    <w:aliases w:val="cS List Paragraph,F5 List Paragraph,List Paragraph1,List Paragraph11,Numbered Para 1,Dot pt,No Spacing1,List Paragraph Char Char Char,Indicator Text,Bullet Points,MAIN CONTENT,List Paragraph12,Bullets,Lettre d'introduction,Bullet 1"/>
    <w:basedOn w:val="Normal"/>
    <w:link w:val="ListParagraphChar"/>
    <w:uiPriority w:val="34"/>
    <w:qFormat/>
    <w:rsid w:val="0032421C"/>
    <w:pPr>
      <w:ind w:left="720"/>
    </w:pPr>
  </w:style>
  <w:style w:type="paragraph" w:styleId="BodyText">
    <w:name w:val="Body Text"/>
    <w:basedOn w:val="Normal"/>
    <w:link w:val="BodyTextChar"/>
    <w:rsid w:val="00200E6E"/>
    <w:pPr>
      <w:spacing w:after="120"/>
    </w:pPr>
  </w:style>
  <w:style w:type="character" w:customStyle="1" w:styleId="BodyTextChar">
    <w:name w:val="Body Text Char"/>
    <w:link w:val="BodyText"/>
    <w:rsid w:val="00200E6E"/>
    <w:rPr>
      <w:rFonts w:ascii="Arial" w:hAnsi="Arial"/>
      <w:sz w:val="24"/>
      <w:szCs w:val="24"/>
      <w:lang w:eastAsia="en-US"/>
    </w:rPr>
  </w:style>
  <w:style w:type="paragraph" w:customStyle="1" w:styleId="ReportNumbering">
    <w:name w:val="Report Numbering"/>
    <w:basedOn w:val="Normal"/>
    <w:rsid w:val="00E547AA"/>
    <w:pPr>
      <w:numPr>
        <w:numId w:val="37"/>
      </w:numPr>
      <w:spacing w:after="240"/>
    </w:pPr>
    <w:rPr>
      <w:szCs w:val="20"/>
    </w:rPr>
  </w:style>
  <w:style w:type="table" w:customStyle="1" w:styleId="TableGrid2">
    <w:name w:val="Table Grid2"/>
    <w:basedOn w:val="TableNormal"/>
    <w:next w:val="TableGrid"/>
    <w:uiPriority w:val="59"/>
    <w:rsid w:val="006D6F73"/>
    <w:rPr>
      <w:rFonts w:ascii="Arial" w:eastAsia="Calibri" w:hAnsi="Arial" w:cs="Arial"/>
      <w:sz w:val="24"/>
      <w:szCs w:val="24"/>
      <w:lang w:eastAsia="en-US"/>
    </w:rPr>
    <w:tblPr/>
  </w:style>
  <w:style w:type="table" w:customStyle="1" w:styleId="TableGrid21">
    <w:name w:val="Table Grid21"/>
    <w:basedOn w:val="TableNormal"/>
    <w:next w:val="TableGrid"/>
    <w:uiPriority w:val="59"/>
    <w:rsid w:val="0081718B"/>
    <w:rPr>
      <w:rFonts w:ascii="Arial" w:eastAsia="Calibri" w:hAnsi="Arial" w:cs="Arial"/>
      <w:sz w:val="24"/>
      <w:szCs w:val="24"/>
      <w:lang w:eastAsia="en-US"/>
    </w:rPr>
    <w:tblPr/>
  </w:style>
  <w:style w:type="table" w:customStyle="1" w:styleId="TableGrid3">
    <w:name w:val="Table Grid3"/>
    <w:basedOn w:val="TableNormal"/>
    <w:next w:val="TableGrid"/>
    <w:uiPriority w:val="59"/>
    <w:rsid w:val="000F525A"/>
    <w:rPr>
      <w:rFonts w:ascii="Arial" w:eastAsia="Calibri" w:hAnsi="Arial" w:cs="Arial"/>
      <w:sz w:val="24"/>
      <w:szCs w:val="24"/>
      <w:lang w:eastAsia="en-US"/>
    </w:rPr>
    <w:tblPr/>
  </w:style>
  <w:style w:type="character" w:styleId="Strong">
    <w:name w:val="Strong"/>
    <w:uiPriority w:val="22"/>
    <w:qFormat/>
    <w:rsid w:val="00A77A29"/>
    <w:rPr>
      <w:b/>
      <w:bCs/>
    </w:rPr>
  </w:style>
  <w:style w:type="character" w:customStyle="1" w:styleId="CommentTextChar">
    <w:name w:val="Comment Text Char"/>
    <w:link w:val="CommentText"/>
    <w:rsid w:val="006A5A42"/>
    <w:rPr>
      <w:rFonts w:ascii="Arial" w:hAnsi="Arial"/>
      <w:lang w:eastAsia="en-US"/>
    </w:rPr>
  </w:style>
  <w:style w:type="paragraph" w:customStyle="1" w:styleId="mol-para-with-font">
    <w:name w:val="mol-para-with-font"/>
    <w:basedOn w:val="Normal"/>
    <w:rsid w:val="00FF55DA"/>
    <w:pPr>
      <w:spacing w:before="100" w:beforeAutospacing="1" w:after="100" w:afterAutospacing="1"/>
    </w:pPr>
    <w:rPr>
      <w:rFonts w:ascii="Times New Roman" w:hAnsi="Times New Roman"/>
      <w:lang w:eastAsia="en-GB"/>
    </w:rPr>
  </w:style>
  <w:style w:type="paragraph" w:customStyle="1" w:styleId="ReportPara">
    <w:name w:val="Report Para"/>
    <w:basedOn w:val="Normal"/>
    <w:rsid w:val="001C162F"/>
    <w:pPr>
      <w:numPr>
        <w:ilvl w:val="1"/>
        <w:numId w:val="4"/>
      </w:numPr>
      <w:spacing w:after="120"/>
    </w:pPr>
    <w:rPr>
      <w:rFonts w:ascii="Gill Sans MT" w:hAnsi="Gill Sans MT"/>
      <w:szCs w:val="20"/>
      <w:lang w:eastAsia="en-GB"/>
    </w:rPr>
  </w:style>
  <w:style w:type="character" w:customStyle="1" w:styleId="ilfuvd">
    <w:name w:val="ilfuvd"/>
    <w:basedOn w:val="DefaultParagraphFont"/>
    <w:rsid w:val="00F35A62"/>
  </w:style>
  <w:style w:type="character" w:customStyle="1" w:styleId="qna-result-writtenstatement-ministerrole">
    <w:name w:val="qna-result-writtenstatement-ministerrole"/>
    <w:basedOn w:val="DefaultParagraphFont"/>
    <w:rsid w:val="00686271"/>
  </w:style>
  <w:style w:type="character" w:customStyle="1" w:styleId="abodyChar">
    <w:name w:val="a body Char"/>
    <w:link w:val="abody"/>
    <w:locked/>
    <w:rsid w:val="00D81FF0"/>
    <w:rPr>
      <w:rFonts w:ascii="Arial" w:hAnsi="Arial" w:cs="Arial"/>
      <w:color w:val="323232"/>
      <w:sz w:val="22"/>
      <w:szCs w:val="28"/>
      <w:lang w:val="x-none" w:eastAsia="en-US"/>
    </w:rPr>
  </w:style>
  <w:style w:type="paragraph" w:customStyle="1" w:styleId="abody">
    <w:name w:val="a body"/>
    <w:basedOn w:val="Normal"/>
    <w:link w:val="abodyChar"/>
    <w:qFormat/>
    <w:rsid w:val="00D81FF0"/>
    <w:pPr>
      <w:numPr>
        <w:ilvl w:val="1"/>
        <w:numId w:val="5"/>
      </w:numPr>
      <w:spacing w:before="120" w:after="240" w:line="300" w:lineRule="exact"/>
      <w:ind w:left="1134" w:hanging="1134"/>
      <w:jc w:val="both"/>
    </w:pPr>
    <w:rPr>
      <w:rFonts w:cs="Arial"/>
      <w:color w:val="323232"/>
      <w:sz w:val="22"/>
      <w:szCs w:val="28"/>
      <w:lang w:val="x-none"/>
    </w:rPr>
  </w:style>
  <w:style w:type="paragraph" w:customStyle="1" w:styleId="Level2">
    <w:name w:val="Level 2"/>
    <w:basedOn w:val="Heading2"/>
    <w:rsid w:val="00DD2533"/>
    <w:pPr>
      <w:keepLines/>
      <w:numPr>
        <w:ilvl w:val="1"/>
        <w:numId w:val="6"/>
      </w:numPr>
      <w:spacing w:before="200" w:after="200" w:line="300" w:lineRule="exact"/>
    </w:pPr>
    <w:rPr>
      <w:b w:val="0"/>
      <w:bCs w:val="0"/>
      <w:color w:val="323232"/>
      <w:sz w:val="22"/>
      <w:szCs w:val="28"/>
      <w:u w:val="none"/>
    </w:rPr>
  </w:style>
  <w:style w:type="paragraph" w:customStyle="1" w:styleId="Level1">
    <w:name w:val="Level 1"/>
    <w:basedOn w:val="Heading1"/>
    <w:next w:val="Level2"/>
    <w:rsid w:val="00DD2533"/>
    <w:pPr>
      <w:numPr>
        <w:numId w:val="6"/>
      </w:numPr>
      <w:tabs>
        <w:tab w:val="clear" w:pos="1341"/>
        <w:tab w:val="num" w:pos="360"/>
      </w:tabs>
      <w:suppressAutoHyphens/>
      <w:spacing w:before="400" w:line="300" w:lineRule="exact"/>
      <w:ind w:left="0" w:firstLine="0"/>
      <w:jc w:val="both"/>
    </w:pPr>
    <w:rPr>
      <w:b w:val="0"/>
      <w:bCs w:val="0"/>
      <w:color w:val="0074E1"/>
      <w:kern w:val="32"/>
      <w:sz w:val="30"/>
      <w:szCs w:val="32"/>
      <w:lang w:val="x-none"/>
    </w:rPr>
  </w:style>
  <w:style w:type="character" w:customStyle="1" w:styleId="Style1Char">
    <w:name w:val="Style1 Char"/>
    <w:basedOn w:val="DefaultParagraphFont"/>
    <w:link w:val="Style1"/>
    <w:locked/>
    <w:rsid w:val="00DD2533"/>
    <w:rPr>
      <w:rFonts w:ascii="Arial" w:hAnsi="Arial" w:cs="Arial"/>
      <w:color w:val="323232"/>
      <w:sz w:val="22"/>
      <w:szCs w:val="28"/>
      <w:lang w:eastAsia="en-US"/>
    </w:rPr>
  </w:style>
  <w:style w:type="paragraph" w:customStyle="1" w:styleId="Style1">
    <w:name w:val="Style1"/>
    <w:basedOn w:val="Level2"/>
    <w:link w:val="Style1Char"/>
    <w:qFormat/>
    <w:rsid w:val="00DD2533"/>
    <w:pPr>
      <w:ind w:left="1134" w:hanging="1134"/>
      <w:jc w:val="both"/>
    </w:pPr>
    <w:rPr>
      <w:rFonts w:cs="Arial"/>
    </w:rPr>
  </w:style>
  <w:style w:type="character" w:customStyle="1" w:styleId="NoSpacingChar">
    <w:name w:val="No Spacing Char"/>
    <w:basedOn w:val="DefaultParagraphFont"/>
    <w:link w:val="NoSpacing"/>
    <w:uiPriority w:val="1"/>
    <w:locked/>
    <w:rsid w:val="00637919"/>
  </w:style>
  <w:style w:type="paragraph" w:styleId="NoSpacing">
    <w:name w:val="No Spacing"/>
    <w:basedOn w:val="Normal"/>
    <w:link w:val="NoSpacingChar"/>
    <w:uiPriority w:val="1"/>
    <w:qFormat/>
    <w:rsid w:val="00637919"/>
    <w:rPr>
      <w:rFonts w:ascii="Times New Roman" w:hAnsi="Times New Roman"/>
      <w:sz w:val="20"/>
      <w:szCs w:val="20"/>
      <w:lang w:eastAsia="en-GB"/>
    </w:rPr>
  </w:style>
  <w:style w:type="character" w:customStyle="1" w:styleId="ListParagraphChar">
    <w:name w:val="List Paragraph Char"/>
    <w:aliases w:val="cS List Paragraph Char,F5 List Paragraph Char,List Paragraph1 Char,List Paragraph11 Char,Numbered Para 1 Char,Dot pt Char,No Spacing1 Char,List Paragraph Char Char Char Char,Indicator Text Char,Bullet Points Char,MAIN CONTENT Char"/>
    <w:basedOn w:val="DefaultParagraphFont"/>
    <w:link w:val="ListParagraph"/>
    <w:uiPriority w:val="34"/>
    <w:locked/>
    <w:rsid w:val="00637919"/>
    <w:rPr>
      <w:rFonts w:ascii="Arial" w:hAnsi="Arial"/>
      <w:sz w:val="24"/>
      <w:szCs w:val="24"/>
      <w:lang w:eastAsia="en-US"/>
    </w:rPr>
  </w:style>
  <w:style w:type="paragraph" w:customStyle="1" w:styleId="TableParagraph">
    <w:name w:val="Table Paragraph"/>
    <w:basedOn w:val="Normal"/>
    <w:uiPriority w:val="1"/>
    <w:qFormat/>
    <w:rsid w:val="005C6A9A"/>
    <w:pPr>
      <w:widowControl w:val="0"/>
      <w:autoSpaceDE w:val="0"/>
      <w:autoSpaceDN w:val="0"/>
      <w:jc w:val="right"/>
    </w:pPr>
    <w:rPr>
      <w:rFonts w:eastAsia="Arial" w:cs="Arial"/>
      <w:sz w:val="22"/>
      <w:szCs w:val="22"/>
      <w:lang w:val="en-US"/>
    </w:rPr>
  </w:style>
  <w:style w:type="character" w:customStyle="1" w:styleId="hgkelc">
    <w:name w:val="hgkelc"/>
    <w:basedOn w:val="DefaultParagraphFont"/>
    <w:rsid w:val="003E576F"/>
  </w:style>
  <w:style w:type="paragraph" w:customStyle="1" w:styleId="Style4">
    <w:name w:val="Style4"/>
    <w:basedOn w:val="abody"/>
    <w:link w:val="Style4Char"/>
    <w:qFormat/>
    <w:rsid w:val="00DE283D"/>
    <w:pPr>
      <w:numPr>
        <w:ilvl w:val="0"/>
        <w:numId w:val="18"/>
      </w:numPr>
      <w:ind w:left="1559" w:hanging="425"/>
    </w:pPr>
  </w:style>
  <w:style w:type="character" w:customStyle="1" w:styleId="Style4Char">
    <w:name w:val="Style4 Char"/>
    <w:basedOn w:val="abodyChar"/>
    <w:link w:val="Style4"/>
    <w:rsid w:val="00DE283D"/>
    <w:rPr>
      <w:rFonts w:ascii="Arial" w:hAnsi="Arial" w:cs="Arial"/>
      <w:color w:val="323232"/>
      <w:sz w:val="22"/>
      <w:szCs w:val="28"/>
      <w:lang w:val="x-none" w:eastAsia="en-US"/>
    </w:rPr>
  </w:style>
  <w:style w:type="paragraph" w:customStyle="1" w:styleId="11">
    <w:name w:val="1.1"/>
    <w:basedOn w:val="BodyText"/>
    <w:qFormat/>
    <w:rsid w:val="00B36A83"/>
    <w:pPr>
      <w:numPr>
        <w:numId w:val="19"/>
      </w:numPr>
      <w:tabs>
        <w:tab w:val="clear" w:pos="720"/>
      </w:tabs>
      <w:spacing w:after="220"/>
      <w:ind w:hanging="360"/>
    </w:pPr>
    <w:rPr>
      <w:rFonts w:ascii="Verdana" w:hAnsi="Verdana"/>
      <w:sz w:val="22"/>
      <w:szCs w:val="20"/>
    </w:rPr>
  </w:style>
  <w:style w:type="paragraph" w:customStyle="1" w:styleId="CharChar1CharCharCharCharCharCharChar">
    <w:name w:val="Char Char1 Char Char Char Char Char Char Char"/>
    <w:basedOn w:val="Normal"/>
    <w:rsid w:val="003341CB"/>
    <w:pPr>
      <w:spacing w:after="160" w:line="240" w:lineRule="exact"/>
    </w:pPr>
    <w:rPr>
      <w:rFonts w:ascii="Verdana" w:hAnsi="Verdana"/>
      <w:lang w:val="en-US"/>
    </w:rPr>
  </w:style>
  <w:style w:type="character" w:customStyle="1" w:styleId="normaltextrun">
    <w:name w:val="normaltextrun"/>
    <w:basedOn w:val="DefaultParagraphFont"/>
    <w:rsid w:val="00F94CEC"/>
  </w:style>
  <w:style w:type="character" w:customStyle="1" w:styleId="eop">
    <w:name w:val="eop"/>
    <w:basedOn w:val="DefaultParagraphFont"/>
    <w:rsid w:val="00F94CEC"/>
  </w:style>
  <w:style w:type="paragraph" w:customStyle="1" w:styleId="paragraph">
    <w:name w:val="paragraph"/>
    <w:basedOn w:val="Normal"/>
    <w:rsid w:val="006A45E5"/>
    <w:pPr>
      <w:spacing w:before="100" w:beforeAutospacing="1" w:after="100" w:afterAutospacing="1"/>
    </w:pPr>
    <w:rPr>
      <w:rFonts w:ascii="Times New Roman" w:hAnsi="Times New Roman"/>
      <w:lang w:eastAsia="en-GB"/>
    </w:rPr>
  </w:style>
  <w:style w:type="character" w:customStyle="1" w:styleId="Mention1">
    <w:name w:val="Mention1"/>
    <w:basedOn w:val="DefaultParagraphFont"/>
    <w:uiPriority w:val="99"/>
    <w:unhideWhenUsed/>
    <w:rsid w:val="006A45E5"/>
    <w:rPr>
      <w:color w:val="2B579A"/>
      <w:shd w:val="clear" w:color="auto" w:fill="E1DFDD"/>
    </w:rPr>
  </w:style>
  <w:style w:type="paragraph" w:customStyle="1" w:styleId="xelementtoproof">
    <w:name w:val="x_elementtoproof"/>
    <w:basedOn w:val="Normal"/>
    <w:rsid w:val="007F656D"/>
    <w:pPr>
      <w:spacing w:before="100" w:beforeAutospacing="1" w:after="100" w:afterAutospacing="1"/>
    </w:pPr>
    <w:rPr>
      <w:rFonts w:ascii="Times New Roman" w:hAnsi="Times New Roman"/>
      <w:lang w:eastAsia="en-GB"/>
    </w:rPr>
  </w:style>
  <w:style w:type="paragraph" w:styleId="Revision">
    <w:name w:val="Revision"/>
    <w:hidden/>
    <w:uiPriority w:val="99"/>
    <w:semiHidden/>
    <w:rsid w:val="00792100"/>
    <w:rPr>
      <w:rFonts w:ascii="Arial" w:hAnsi="Arial"/>
      <w:sz w:val="24"/>
      <w:szCs w:val="24"/>
      <w:lang w:eastAsia="en-US"/>
    </w:rPr>
  </w:style>
  <w:style w:type="paragraph" w:customStyle="1" w:styleId="xxmsonormal">
    <w:name w:val="x_xmsonormal"/>
    <w:basedOn w:val="Normal"/>
    <w:rsid w:val="00AE6DE2"/>
    <w:pPr>
      <w:spacing w:before="100" w:beforeAutospacing="1" w:after="100" w:afterAutospacing="1"/>
    </w:pPr>
    <w:rPr>
      <w:rFonts w:ascii="Times New Roman" w:hAnsi="Times New Roman"/>
      <w:lang w:eastAsia="en-GB"/>
    </w:rPr>
  </w:style>
  <w:style w:type="character" w:customStyle="1" w:styleId="markiemstwv7e">
    <w:name w:val="markiemstwv7e"/>
    <w:basedOn w:val="DefaultParagraphFont"/>
    <w:rsid w:val="00AE6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6779">
      <w:bodyDiv w:val="1"/>
      <w:marLeft w:val="0"/>
      <w:marRight w:val="0"/>
      <w:marTop w:val="0"/>
      <w:marBottom w:val="0"/>
      <w:divBdr>
        <w:top w:val="none" w:sz="0" w:space="0" w:color="auto"/>
        <w:left w:val="none" w:sz="0" w:space="0" w:color="auto"/>
        <w:bottom w:val="none" w:sz="0" w:space="0" w:color="auto"/>
        <w:right w:val="none" w:sz="0" w:space="0" w:color="auto"/>
      </w:divBdr>
    </w:div>
    <w:div w:id="50615254">
      <w:bodyDiv w:val="1"/>
      <w:marLeft w:val="0"/>
      <w:marRight w:val="0"/>
      <w:marTop w:val="0"/>
      <w:marBottom w:val="0"/>
      <w:divBdr>
        <w:top w:val="none" w:sz="0" w:space="0" w:color="auto"/>
        <w:left w:val="none" w:sz="0" w:space="0" w:color="auto"/>
        <w:bottom w:val="none" w:sz="0" w:space="0" w:color="auto"/>
        <w:right w:val="none" w:sz="0" w:space="0" w:color="auto"/>
      </w:divBdr>
    </w:div>
    <w:div w:id="67116500">
      <w:bodyDiv w:val="1"/>
      <w:marLeft w:val="0"/>
      <w:marRight w:val="0"/>
      <w:marTop w:val="0"/>
      <w:marBottom w:val="0"/>
      <w:divBdr>
        <w:top w:val="none" w:sz="0" w:space="0" w:color="auto"/>
        <w:left w:val="none" w:sz="0" w:space="0" w:color="auto"/>
        <w:bottom w:val="none" w:sz="0" w:space="0" w:color="auto"/>
        <w:right w:val="none" w:sz="0" w:space="0" w:color="auto"/>
      </w:divBdr>
    </w:div>
    <w:div w:id="86998995">
      <w:bodyDiv w:val="1"/>
      <w:marLeft w:val="0"/>
      <w:marRight w:val="0"/>
      <w:marTop w:val="0"/>
      <w:marBottom w:val="0"/>
      <w:divBdr>
        <w:top w:val="none" w:sz="0" w:space="0" w:color="auto"/>
        <w:left w:val="none" w:sz="0" w:space="0" w:color="auto"/>
        <w:bottom w:val="none" w:sz="0" w:space="0" w:color="auto"/>
        <w:right w:val="none" w:sz="0" w:space="0" w:color="auto"/>
      </w:divBdr>
    </w:div>
    <w:div w:id="95103611">
      <w:bodyDiv w:val="1"/>
      <w:marLeft w:val="0"/>
      <w:marRight w:val="0"/>
      <w:marTop w:val="0"/>
      <w:marBottom w:val="0"/>
      <w:divBdr>
        <w:top w:val="none" w:sz="0" w:space="0" w:color="auto"/>
        <w:left w:val="none" w:sz="0" w:space="0" w:color="auto"/>
        <w:bottom w:val="none" w:sz="0" w:space="0" w:color="auto"/>
        <w:right w:val="none" w:sz="0" w:space="0" w:color="auto"/>
      </w:divBdr>
      <w:divsChild>
        <w:div w:id="1933388640">
          <w:marLeft w:val="0"/>
          <w:marRight w:val="0"/>
          <w:marTop w:val="0"/>
          <w:marBottom w:val="0"/>
          <w:divBdr>
            <w:top w:val="none" w:sz="0" w:space="0" w:color="auto"/>
            <w:left w:val="none" w:sz="0" w:space="0" w:color="auto"/>
            <w:bottom w:val="none" w:sz="0" w:space="0" w:color="auto"/>
            <w:right w:val="none" w:sz="0" w:space="0" w:color="auto"/>
          </w:divBdr>
          <w:divsChild>
            <w:div w:id="1329402267">
              <w:marLeft w:val="0"/>
              <w:marRight w:val="0"/>
              <w:marTop w:val="0"/>
              <w:marBottom w:val="0"/>
              <w:divBdr>
                <w:top w:val="none" w:sz="0" w:space="0" w:color="auto"/>
                <w:left w:val="none" w:sz="0" w:space="0" w:color="auto"/>
                <w:bottom w:val="none" w:sz="0" w:space="0" w:color="auto"/>
                <w:right w:val="none" w:sz="0" w:space="0" w:color="auto"/>
              </w:divBdr>
              <w:divsChild>
                <w:div w:id="1448429261">
                  <w:marLeft w:val="0"/>
                  <w:marRight w:val="0"/>
                  <w:marTop w:val="0"/>
                  <w:marBottom w:val="0"/>
                  <w:divBdr>
                    <w:top w:val="none" w:sz="0" w:space="0" w:color="auto"/>
                    <w:left w:val="none" w:sz="0" w:space="0" w:color="auto"/>
                    <w:bottom w:val="none" w:sz="0" w:space="0" w:color="auto"/>
                    <w:right w:val="none" w:sz="0" w:space="0" w:color="auto"/>
                  </w:divBdr>
                  <w:divsChild>
                    <w:div w:id="1324815200">
                      <w:marLeft w:val="0"/>
                      <w:marRight w:val="0"/>
                      <w:marTop w:val="0"/>
                      <w:marBottom w:val="0"/>
                      <w:divBdr>
                        <w:top w:val="none" w:sz="0" w:space="0" w:color="auto"/>
                        <w:left w:val="none" w:sz="0" w:space="0" w:color="auto"/>
                        <w:bottom w:val="none" w:sz="0" w:space="0" w:color="auto"/>
                        <w:right w:val="none" w:sz="0" w:space="0" w:color="auto"/>
                      </w:divBdr>
                      <w:divsChild>
                        <w:div w:id="14146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10823">
      <w:bodyDiv w:val="1"/>
      <w:marLeft w:val="0"/>
      <w:marRight w:val="0"/>
      <w:marTop w:val="0"/>
      <w:marBottom w:val="0"/>
      <w:divBdr>
        <w:top w:val="none" w:sz="0" w:space="0" w:color="auto"/>
        <w:left w:val="none" w:sz="0" w:space="0" w:color="auto"/>
        <w:bottom w:val="none" w:sz="0" w:space="0" w:color="auto"/>
        <w:right w:val="none" w:sz="0" w:space="0" w:color="auto"/>
      </w:divBdr>
    </w:div>
    <w:div w:id="118762775">
      <w:bodyDiv w:val="1"/>
      <w:marLeft w:val="0"/>
      <w:marRight w:val="0"/>
      <w:marTop w:val="0"/>
      <w:marBottom w:val="0"/>
      <w:divBdr>
        <w:top w:val="none" w:sz="0" w:space="0" w:color="auto"/>
        <w:left w:val="none" w:sz="0" w:space="0" w:color="auto"/>
        <w:bottom w:val="none" w:sz="0" w:space="0" w:color="auto"/>
        <w:right w:val="none" w:sz="0" w:space="0" w:color="auto"/>
      </w:divBdr>
    </w:div>
    <w:div w:id="127672931">
      <w:bodyDiv w:val="1"/>
      <w:marLeft w:val="0"/>
      <w:marRight w:val="0"/>
      <w:marTop w:val="0"/>
      <w:marBottom w:val="0"/>
      <w:divBdr>
        <w:top w:val="none" w:sz="0" w:space="0" w:color="auto"/>
        <w:left w:val="none" w:sz="0" w:space="0" w:color="auto"/>
        <w:bottom w:val="none" w:sz="0" w:space="0" w:color="auto"/>
        <w:right w:val="none" w:sz="0" w:space="0" w:color="auto"/>
      </w:divBdr>
    </w:div>
    <w:div w:id="138575556">
      <w:bodyDiv w:val="1"/>
      <w:marLeft w:val="0"/>
      <w:marRight w:val="0"/>
      <w:marTop w:val="0"/>
      <w:marBottom w:val="0"/>
      <w:divBdr>
        <w:top w:val="none" w:sz="0" w:space="0" w:color="auto"/>
        <w:left w:val="none" w:sz="0" w:space="0" w:color="auto"/>
        <w:bottom w:val="none" w:sz="0" w:space="0" w:color="auto"/>
        <w:right w:val="none" w:sz="0" w:space="0" w:color="auto"/>
      </w:divBdr>
    </w:div>
    <w:div w:id="143553421">
      <w:bodyDiv w:val="1"/>
      <w:marLeft w:val="0"/>
      <w:marRight w:val="0"/>
      <w:marTop w:val="0"/>
      <w:marBottom w:val="0"/>
      <w:divBdr>
        <w:top w:val="none" w:sz="0" w:space="0" w:color="auto"/>
        <w:left w:val="none" w:sz="0" w:space="0" w:color="auto"/>
        <w:bottom w:val="none" w:sz="0" w:space="0" w:color="auto"/>
        <w:right w:val="none" w:sz="0" w:space="0" w:color="auto"/>
      </w:divBdr>
    </w:div>
    <w:div w:id="165094992">
      <w:bodyDiv w:val="1"/>
      <w:marLeft w:val="0"/>
      <w:marRight w:val="0"/>
      <w:marTop w:val="0"/>
      <w:marBottom w:val="0"/>
      <w:divBdr>
        <w:top w:val="none" w:sz="0" w:space="0" w:color="auto"/>
        <w:left w:val="none" w:sz="0" w:space="0" w:color="auto"/>
        <w:bottom w:val="none" w:sz="0" w:space="0" w:color="auto"/>
        <w:right w:val="none" w:sz="0" w:space="0" w:color="auto"/>
      </w:divBdr>
      <w:divsChild>
        <w:div w:id="1913735417">
          <w:marLeft w:val="0"/>
          <w:marRight w:val="0"/>
          <w:marTop w:val="100"/>
          <w:marBottom w:val="100"/>
          <w:divBdr>
            <w:top w:val="none" w:sz="0" w:space="0" w:color="auto"/>
            <w:left w:val="none" w:sz="0" w:space="0" w:color="auto"/>
            <w:bottom w:val="none" w:sz="0" w:space="0" w:color="auto"/>
            <w:right w:val="none" w:sz="0" w:space="0" w:color="auto"/>
          </w:divBdr>
          <w:divsChild>
            <w:div w:id="736785629">
              <w:marLeft w:val="0"/>
              <w:marRight w:val="0"/>
              <w:marTop w:val="0"/>
              <w:marBottom w:val="420"/>
              <w:divBdr>
                <w:top w:val="none" w:sz="0" w:space="0" w:color="auto"/>
                <w:left w:val="none" w:sz="0" w:space="0" w:color="auto"/>
                <w:bottom w:val="none" w:sz="0" w:space="0" w:color="auto"/>
                <w:right w:val="none" w:sz="0" w:space="0" w:color="auto"/>
              </w:divBdr>
              <w:divsChild>
                <w:div w:id="1724909226">
                  <w:marLeft w:val="0"/>
                  <w:marRight w:val="0"/>
                  <w:marTop w:val="0"/>
                  <w:marBottom w:val="0"/>
                  <w:divBdr>
                    <w:top w:val="none" w:sz="0" w:space="0" w:color="auto"/>
                    <w:left w:val="none" w:sz="0" w:space="0" w:color="auto"/>
                    <w:bottom w:val="none" w:sz="0" w:space="0" w:color="auto"/>
                    <w:right w:val="none" w:sz="0" w:space="0" w:color="auto"/>
                  </w:divBdr>
                  <w:divsChild>
                    <w:div w:id="43914831">
                      <w:marLeft w:val="0"/>
                      <w:marRight w:val="0"/>
                      <w:marTop w:val="0"/>
                      <w:marBottom w:val="0"/>
                      <w:divBdr>
                        <w:top w:val="none" w:sz="0" w:space="0" w:color="auto"/>
                        <w:left w:val="none" w:sz="0" w:space="0" w:color="auto"/>
                        <w:bottom w:val="none" w:sz="0" w:space="0" w:color="auto"/>
                        <w:right w:val="none" w:sz="0" w:space="0" w:color="auto"/>
                      </w:divBdr>
                      <w:divsChild>
                        <w:div w:id="76636303">
                          <w:marLeft w:val="0"/>
                          <w:marRight w:val="0"/>
                          <w:marTop w:val="0"/>
                          <w:marBottom w:val="0"/>
                          <w:divBdr>
                            <w:top w:val="none" w:sz="0" w:space="0" w:color="auto"/>
                            <w:left w:val="none" w:sz="0" w:space="0" w:color="auto"/>
                            <w:bottom w:val="none" w:sz="0" w:space="0" w:color="auto"/>
                            <w:right w:val="none" w:sz="0" w:space="0" w:color="auto"/>
                          </w:divBdr>
                          <w:divsChild>
                            <w:div w:id="1187406184">
                              <w:marLeft w:val="0"/>
                              <w:marRight w:val="0"/>
                              <w:marTop w:val="0"/>
                              <w:marBottom w:val="0"/>
                              <w:divBdr>
                                <w:top w:val="none" w:sz="0" w:space="0" w:color="auto"/>
                                <w:left w:val="none" w:sz="0" w:space="0" w:color="auto"/>
                                <w:bottom w:val="none" w:sz="0" w:space="0" w:color="auto"/>
                                <w:right w:val="none" w:sz="0" w:space="0" w:color="auto"/>
                              </w:divBdr>
                              <w:divsChild>
                                <w:div w:id="16502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67782">
      <w:bodyDiv w:val="1"/>
      <w:marLeft w:val="0"/>
      <w:marRight w:val="0"/>
      <w:marTop w:val="0"/>
      <w:marBottom w:val="0"/>
      <w:divBdr>
        <w:top w:val="none" w:sz="0" w:space="0" w:color="auto"/>
        <w:left w:val="none" w:sz="0" w:space="0" w:color="auto"/>
        <w:bottom w:val="none" w:sz="0" w:space="0" w:color="auto"/>
        <w:right w:val="none" w:sz="0" w:space="0" w:color="auto"/>
      </w:divBdr>
    </w:div>
    <w:div w:id="180895325">
      <w:bodyDiv w:val="1"/>
      <w:marLeft w:val="0"/>
      <w:marRight w:val="0"/>
      <w:marTop w:val="0"/>
      <w:marBottom w:val="0"/>
      <w:divBdr>
        <w:top w:val="none" w:sz="0" w:space="0" w:color="auto"/>
        <w:left w:val="none" w:sz="0" w:space="0" w:color="auto"/>
        <w:bottom w:val="none" w:sz="0" w:space="0" w:color="auto"/>
        <w:right w:val="none" w:sz="0" w:space="0" w:color="auto"/>
      </w:divBdr>
    </w:div>
    <w:div w:id="181207207">
      <w:bodyDiv w:val="1"/>
      <w:marLeft w:val="0"/>
      <w:marRight w:val="0"/>
      <w:marTop w:val="0"/>
      <w:marBottom w:val="0"/>
      <w:divBdr>
        <w:top w:val="none" w:sz="0" w:space="0" w:color="auto"/>
        <w:left w:val="none" w:sz="0" w:space="0" w:color="auto"/>
        <w:bottom w:val="none" w:sz="0" w:space="0" w:color="auto"/>
        <w:right w:val="none" w:sz="0" w:space="0" w:color="auto"/>
      </w:divBdr>
    </w:div>
    <w:div w:id="199754338">
      <w:bodyDiv w:val="1"/>
      <w:marLeft w:val="0"/>
      <w:marRight w:val="0"/>
      <w:marTop w:val="0"/>
      <w:marBottom w:val="0"/>
      <w:divBdr>
        <w:top w:val="none" w:sz="0" w:space="0" w:color="auto"/>
        <w:left w:val="none" w:sz="0" w:space="0" w:color="auto"/>
        <w:bottom w:val="none" w:sz="0" w:space="0" w:color="auto"/>
        <w:right w:val="none" w:sz="0" w:space="0" w:color="auto"/>
      </w:divBdr>
    </w:div>
    <w:div w:id="215896229">
      <w:bodyDiv w:val="1"/>
      <w:marLeft w:val="0"/>
      <w:marRight w:val="0"/>
      <w:marTop w:val="0"/>
      <w:marBottom w:val="0"/>
      <w:divBdr>
        <w:top w:val="none" w:sz="0" w:space="0" w:color="auto"/>
        <w:left w:val="none" w:sz="0" w:space="0" w:color="auto"/>
        <w:bottom w:val="none" w:sz="0" w:space="0" w:color="auto"/>
        <w:right w:val="none" w:sz="0" w:space="0" w:color="auto"/>
      </w:divBdr>
    </w:div>
    <w:div w:id="219096380">
      <w:bodyDiv w:val="1"/>
      <w:marLeft w:val="0"/>
      <w:marRight w:val="0"/>
      <w:marTop w:val="0"/>
      <w:marBottom w:val="0"/>
      <w:divBdr>
        <w:top w:val="none" w:sz="0" w:space="0" w:color="auto"/>
        <w:left w:val="none" w:sz="0" w:space="0" w:color="auto"/>
        <w:bottom w:val="none" w:sz="0" w:space="0" w:color="auto"/>
        <w:right w:val="none" w:sz="0" w:space="0" w:color="auto"/>
      </w:divBdr>
      <w:divsChild>
        <w:div w:id="612059488">
          <w:marLeft w:val="0"/>
          <w:marRight w:val="0"/>
          <w:marTop w:val="0"/>
          <w:marBottom w:val="0"/>
          <w:divBdr>
            <w:top w:val="none" w:sz="0" w:space="0" w:color="auto"/>
            <w:left w:val="none" w:sz="0" w:space="0" w:color="auto"/>
            <w:bottom w:val="none" w:sz="0" w:space="0" w:color="auto"/>
            <w:right w:val="none" w:sz="0" w:space="0" w:color="auto"/>
          </w:divBdr>
          <w:divsChild>
            <w:div w:id="1546409087">
              <w:marLeft w:val="0"/>
              <w:marRight w:val="0"/>
              <w:marTop w:val="0"/>
              <w:marBottom w:val="0"/>
              <w:divBdr>
                <w:top w:val="none" w:sz="0" w:space="0" w:color="auto"/>
                <w:left w:val="none" w:sz="0" w:space="0" w:color="auto"/>
                <w:bottom w:val="none" w:sz="0" w:space="0" w:color="auto"/>
                <w:right w:val="none" w:sz="0" w:space="0" w:color="auto"/>
              </w:divBdr>
              <w:divsChild>
                <w:div w:id="316422507">
                  <w:marLeft w:val="0"/>
                  <w:marRight w:val="0"/>
                  <w:marTop w:val="0"/>
                  <w:marBottom w:val="0"/>
                  <w:divBdr>
                    <w:top w:val="none" w:sz="0" w:space="0" w:color="auto"/>
                    <w:left w:val="none" w:sz="0" w:space="0" w:color="auto"/>
                    <w:bottom w:val="none" w:sz="0" w:space="0" w:color="auto"/>
                    <w:right w:val="none" w:sz="0" w:space="0" w:color="auto"/>
                  </w:divBdr>
                  <w:divsChild>
                    <w:div w:id="317005413">
                      <w:marLeft w:val="0"/>
                      <w:marRight w:val="0"/>
                      <w:marTop w:val="0"/>
                      <w:marBottom w:val="0"/>
                      <w:divBdr>
                        <w:top w:val="none" w:sz="0" w:space="0" w:color="auto"/>
                        <w:left w:val="none" w:sz="0" w:space="0" w:color="auto"/>
                        <w:bottom w:val="none" w:sz="0" w:space="0" w:color="auto"/>
                        <w:right w:val="none" w:sz="0" w:space="0" w:color="auto"/>
                      </w:divBdr>
                      <w:divsChild>
                        <w:div w:id="1655915662">
                          <w:marLeft w:val="0"/>
                          <w:marRight w:val="0"/>
                          <w:marTop w:val="0"/>
                          <w:marBottom w:val="0"/>
                          <w:divBdr>
                            <w:top w:val="none" w:sz="0" w:space="0" w:color="auto"/>
                            <w:left w:val="none" w:sz="0" w:space="0" w:color="auto"/>
                            <w:bottom w:val="none" w:sz="0" w:space="0" w:color="auto"/>
                            <w:right w:val="none" w:sz="0" w:space="0" w:color="auto"/>
                          </w:divBdr>
                          <w:divsChild>
                            <w:div w:id="2147115638">
                              <w:marLeft w:val="0"/>
                              <w:marRight w:val="0"/>
                              <w:marTop w:val="0"/>
                              <w:marBottom w:val="0"/>
                              <w:divBdr>
                                <w:top w:val="none" w:sz="0" w:space="0" w:color="auto"/>
                                <w:left w:val="none" w:sz="0" w:space="0" w:color="auto"/>
                                <w:bottom w:val="none" w:sz="0" w:space="0" w:color="auto"/>
                                <w:right w:val="none" w:sz="0" w:space="0" w:color="auto"/>
                              </w:divBdr>
                              <w:divsChild>
                                <w:div w:id="213276925">
                                  <w:marLeft w:val="0"/>
                                  <w:marRight w:val="0"/>
                                  <w:marTop w:val="0"/>
                                  <w:marBottom w:val="0"/>
                                  <w:divBdr>
                                    <w:top w:val="none" w:sz="0" w:space="0" w:color="auto"/>
                                    <w:left w:val="none" w:sz="0" w:space="0" w:color="auto"/>
                                    <w:bottom w:val="none" w:sz="0" w:space="0" w:color="auto"/>
                                    <w:right w:val="none" w:sz="0" w:space="0" w:color="auto"/>
                                  </w:divBdr>
                                  <w:divsChild>
                                    <w:div w:id="608661592">
                                      <w:marLeft w:val="0"/>
                                      <w:marRight w:val="0"/>
                                      <w:marTop w:val="0"/>
                                      <w:marBottom w:val="0"/>
                                      <w:divBdr>
                                        <w:top w:val="none" w:sz="0" w:space="0" w:color="auto"/>
                                        <w:left w:val="none" w:sz="0" w:space="0" w:color="auto"/>
                                        <w:bottom w:val="none" w:sz="0" w:space="0" w:color="auto"/>
                                        <w:right w:val="none" w:sz="0" w:space="0" w:color="auto"/>
                                      </w:divBdr>
                                      <w:divsChild>
                                        <w:div w:id="1927036957">
                                          <w:marLeft w:val="0"/>
                                          <w:marRight w:val="0"/>
                                          <w:marTop w:val="0"/>
                                          <w:marBottom w:val="0"/>
                                          <w:divBdr>
                                            <w:top w:val="none" w:sz="0" w:space="0" w:color="auto"/>
                                            <w:left w:val="none" w:sz="0" w:space="0" w:color="auto"/>
                                            <w:bottom w:val="none" w:sz="0" w:space="0" w:color="auto"/>
                                            <w:right w:val="none" w:sz="0" w:space="0" w:color="auto"/>
                                          </w:divBdr>
                                          <w:divsChild>
                                            <w:div w:id="315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4269367">
      <w:bodyDiv w:val="1"/>
      <w:marLeft w:val="0"/>
      <w:marRight w:val="0"/>
      <w:marTop w:val="0"/>
      <w:marBottom w:val="0"/>
      <w:divBdr>
        <w:top w:val="none" w:sz="0" w:space="0" w:color="auto"/>
        <w:left w:val="none" w:sz="0" w:space="0" w:color="auto"/>
        <w:bottom w:val="none" w:sz="0" w:space="0" w:color="auto"/>
        <w:right w:val="none" w:sz="0" w:space="0" w:color="auto"/>
      </w:divBdr>
    </w:div>
    <w:div w:id="260258981">
      <w:bodyDiv w:val="1"/>
      <w:marLeft w:val="0"/>
      <w:marRight w:val="0"/>
      <w:marTop w:val="0"/>
      <w:marBottom w:val="0"/>
      <w:divBdr>
        <w:top w:val="none" w:sz="0" w:space="0" w:color="auto"/>
        <w:left w:val="none" w:sz="0" w:space="0" w:color="auto"/>
        <w:bottom w:val="none" w:sz="0" w:space="0" w:color="auto"/>
        <w:right w:val="none" w:sz="0" w:space="0" w:color="auto"/>
      </w:divBdr>
    </w:div>
    <w:div w:id="283082567">
      <w:bodyDiv w:val="1"/>
      <w:marLeft w:val="0"/>
      <w:marRight w:val="0"/>
      <w:marTop w:val="0"/>
      <w:marBottom w:val="0"/>
      <w:divBdr>
        <w:top w:val="none" w:sz="0" w:space="0" w:color="auto"/>
        <w:left w:val="none" w:sz="0" w:space="0" w:color="auto"/>
        <w:bottom w:val="none" w:sz="0" w:space="0" w:color="auto"/>
        <w:right w:val="none" w:sz="0" w:space="0" w:color="auto"/>
      </w:divBdr>
    </w:div>
    <w:div w:id="295451970">
      <w:bodyDiv w:val="1"/>
      <w:marLeft w:val="0"/>
      <w:marRight w:val="0"/>
      <w:marTop w:val="0"/>
      <w:marBottom w:val="0"/>
      <w:divBdr>
        <w:top w:val="none" w:sz="0" w:space="0" w:color="auto"/>
        <w:left w:val="none" w:sz="0" w:space="0" w:color="auto"/>
        <w:bottom w:val="none" w:sz="0" w:space="0" w:color="auto"/>
        <w:right w:val="none" w:sz="0" w:space="0" w:color="auto"/>
      </w:divBdr>
    </w:div>
    <w:div w:id="347947247">
      <w:bodyDiv w:val="1"/>
      <w:marLeft w:val="0"/>
      <w:marRight w:val="0"/>
      <w:marTop w:val="0"/>
      <w:marBottom w:val="0"/>
      <w:divBdr>
        <w:top w:val="none" w:sz="0" w:space="0" w:color="auto"/>
        <w:left w:val="none" w:sz="0" w:space="0" w:color="auto"/>
        <w:bottom w:val="none" w:sz="0" w:space="0" w:color="auto"/>
        <w:right w:val="none" w:sz="0" w:space="0" w:color="auto"/>
      </w:divBdr>
    </w:div>
    <w:div w:id="354381785">
      <w:bodyDiv w:val="1"/>
      <w:marLeft w:val="0"/>
      <w:marRight w:val="0"/>
      <w:marTop w:val="0"/>
      <w:marBottom w:val="0"/>
      <w:divBdr>
        <w:top w:val="none" w:sz="0" w:space="0" w:color="auto"/>
        <w:left w:val="none" w:sz="0" w:space="0" w:color="auto"/>
        <w:bottom w:val="none" w:sz="0" w:space="0" w:color="auto"/>
        <w:right w:val="none" w:sz="0" w:space="0" w:color="auto"/>
      </w:divBdr>
    </w:div>
    <w:div w:id="358514037">
      <w:bodyDiv w:val="1"/>
      <w:marLeft w:val="0"/>
      <w:marRight w:val="0"/>
      <w:marTop w:val="0"/>
      <w:marBottom w:val="0"/>
      <w:divBdr>
        <w:top w:val="none" w:sz="0" w:space="0" w:color="auto"/>
        <w:left w:val="none" w:sz="0" w:space="0" w:color="auto"/>
        <w:bottom w:val="none" w:sz="0" w:space="0" w:color="auto"/>
        <w:right w:val="none" w:sz="0" w:space="0" w:color="auto"/>
      </w:divBdr>
    </w:div>
    <w:div w:id="362485011">
      <w:bodyDiv w:val="1"/>
      <w:marLeft w:val="0"/>
      <w:marRight w:val="0"/>
      <w:marTop w:val="0"/>
      <w:marBottom w:val="0"/>
      <w:divBdr>
        <w:top w:val="none" w:sz="0" w:space="0" w:color="auto"/>
        <w:left w:val="none" w:sz="0" w:space="0" w:color="auto"/>
        <w:bottom w:val="none" w:sz="0" w:space="0" w:color="auto"/>
        <w:right w:val="none" w:sz="0" w:space="0" w:color="auto"/>
      </w:divBdr>
      <w:divsChild>
        <w:div w:id="591007288">
          <w:marLeft w:val="547"/>
          <w:marRight w:val="0"/>
          <w:marTop w:val="96"/>
          <w:marBottom w:val="0"/>
          <w:divBdr>
            <w:top w:val="none" w:sz="0" w:space="0" w:color="auto"/>
            <w:left w:val="none" w:sz="0" w:space="0" w:color="auto"/>
            <w:bottom w:val="none" w:sz="0" w:space="0" w:color="auto"/>
            <w:right w:val="none" w:sz="0" w:space="0" w:color="auto"/>
          </w:divBdr>
        </w:div>
        <w:div w:id="704864314">
          <w:marLeft w:val="547"/>
          <w:marRight w:val="0"/>
          <w:marTop w:val="96"/>
          <w:marBottom w:val="0"/>
          <w:divBdr>
            <w:top w:val="none" w:sz="0" w:space="0" w:color="auto"/>
            <w:left w:val="none" w:sz="0" w:space="0" w:color="auto"/>
            <w:bottom w:val="none" w:sz="0" w:space="0" w:color="auto"/>
            <w:right w:val="none" w:sz="0" w:space="0" w:color="auto"/>
          </w:divBdr>
        </w:div>
      </w:divsChild>
    </w:div>
    <w:div w:id="395399835">
      <w:bodyDiv w:val="1"/>
      <w:marLeft w:val="0"/>
      <w:marRight w:val="0"/>
      <w:marTop w:val="0"/>
      <w:marBottom w:val="0"/>
      <w:divBdr>
        <w:top w:val="none" w:sz="0" w:space="0" w:color="auto"/>
        <w:left w:val="none" w:sz="0" w:space="0" w:color="auto"/>
        <w:bottom w:val="none" w:sz="0" w:space="0" w:color="auto"/>
        <w:right w:val="none" w:sz="0" w:space="0" w:color="auto"/>
      </w:divBdr>
    </w:div>
    <w:div w:id="414935630">
      <w:bodyDiv w:val="1"/>
      <w:marLeft w:val="0"/>
      <w:marRight w:val="0"/>
      <w:marTop w:val="0"/>
      <w:marBottom w:val="0"/>
      <w:divBdr>
        <w:top w:val="none" w:sz="0" w:space="0" w:color="auto"/>
        <w:left w:val="none" w:sz="0" w:space="0" w:color="auto"/>
        <w:bottom w:val="none" w:sz="0" w:space="0" w:color="auto"/>
        <w:right w:val="none" w:sz="0" w:space="0" w:color="auto"/>
      </w:divBdr>
    </w:div>
    <w:div w:id="424767867">
      <w:bodyDiv w:val="1"/>
      <w:marLeft w:val="0"/>
      <w:marRight w:val="0"/>
      <w:marTop w:val="0"/>
      <w:marBottom w:val="0"/>
      <w:divBdr>
        <w:top w:val="none" w:sz="0" w:space="0" w:color="auto"/>
        <w:left w:val="none" w:sz="0" w:space="0" w:color="auto"/>
        <w:bottom w:val="none" w:sz="0" w:space="0" w:color="auto"/>
        <w:right w:val="none" w:sz="0" w:space="0" w:color="auto"/>
      </w:divBdr>
    </w:div>
    <w:div w:id="435028334">
      <w:bodyDiv w:val="1"/>
      <w:marLeft w:val="0"/>
      <w:marRight w:val="0"/>
      <w:marTop w:val="0"/>
      <w:marBottom w:val="0"/>
      <w:divBdr>
        <w:top w:val="none" w:sz="0" w:space="0" w:color="auto"/>
        <w:left w:val="none" w:sz="0" w:space="0" w:color="auto"/>
        <w:bottom w:val="none" w:sz="0" w:space="0" w:color="auto"/>
        <w:right w:val="none" w:sz="0" w:space="0" w:color="auto"/>
      </w:divBdr>
    </w:div>
    <w:div w:id="439449646">
      <w:bodyDiv w:val="1"/>
      <w:marLeft w:val="0"/>
      <w:marRight w:val="0"/>
      <w:marTop w:val="0"/>
      <w:marBottom w:val="0"/>
      <w:divBdr>
        <w:top w:val="none" w:sz="0" w:space="0" w:color="auto"/>
        <w:left w:val="none" w:sz="0" w:space="0" w:color="auto"/>
        <w:bottom w:val="none" w:sz="0" w:space="0" w:color="auto"/>
        <w:right w:val="none" w:sz="0" w:space="0" w:color="auto"/>
      </w:divBdr>
    </w:div>
    <w:div w:id="472523612">
      <w:bodyDiv w:val="1"/>
      <w:marLeft w:val="0"/>
      <w:marRight w:val="0"/>
      <w:marTop w:val="0"/>
      <w:marBottom w:val="0"/>
      <w:divBdr>
        <w:top w:val="none" w:sz="0" w:space="0" w:color="auto"/>
        <w:left w:val="none" w:sz="0" w:space="0" w:color="auto"/>
        <w:bottom w:val="none" w:sz="0" w:space="0" w:color="auto"/>
        <w:right w:val="none" w:sz="0" w:space="0" w:color="auto"/>
      </w:divBdr>
      <w:divsChild>
        <w:div w:id="1672290861">
          <w:marLeft w:val="0"/>
          <w:marRight w:val="0"/>
          <w:marTop w:val="100"/>
          <w:marBottom w:val="100"/>
          <w:divBdr>
            <w:top w:val="none" w:sz="0" w:space="0" w:color="auto"/>
            <w:left w:val="none" w:sz="0" w:space="0" w:color="auto"/>
            <w:bottom w:val="none" w:sz="0" w:space="0" w:color="auto"/>
            <w:right w:val="none" w:sz="0" w:space="0" w:color="auto"/>
          </w:divBdr>
          <w:divsChild>
            <w:div w:id="816336283">
              <w:marLeft w:val="0"/>
              <w:marRight w:val="0"/>
              <w:marTop w:val="0"/>
              <w:marBottom w:val="0"/>
              <w:divBdr>
                <w:top w:val="none" w:sz="0" w:space="0" w:color="auto"/>
                <w:left w:val="none" w:sz="0" w:space="0" w:color="auto"/>
                <w:bottom w:val="none" w:sz="0" w:space="0" w:color="auto"/>
                <w:right w:val="none" w:sz="0" w:space="0" w:color="auto"/>
              </w:divBdr>
              <w:divsChild>
                <w:div w:id="384721731">
                  <w:marLeft w:val="0"/>
                  <w:marRight w:val="0"/>
                  <w:marTop w:val="0"/>
                  <w:marBottom w:val="0"/>
                  <w:divBdr>
                    <w:top w:val="none" w:sz="0" w:space="0" w:color="auto"/>
                    <w:left w:val="none" w:sz="0" w:space="0" w:color="auto"/>
                    <w:bottom w:val="none" w:sz="0" w:space="0" w:color="auto"/>
                    <w:right w:val="none" w:sz="0" w:space="0" w:color="auto"/>
                  </w:divBdr>
                  <w:divsChild>
                    <w:div w:id="1217550283">
                      <w:marLeft w:val="0"/>
                      <w:marRight w:val="0"/>
                      <w:marTop w:val="0"/>
                      <w:marBottom w:val="0"/>
                      <w:divBdr>
                        <w:top w:val="none" w:sz="0" w:space="0" w:color="auto"/>
                        <w:left w:val="none" w:sz="0" w:space="0" w:color="auto"/>
                        <w:bottom w:val="none" w:sz="0" w:space="0" w:color="auto"/>
                        <w:right w:val="none" w:sz="0" w:space="0" w:color="auto"/>
                      </w:divBdr>
                      <w:divsChild>
                        <w:div w:id="342587619">
                          <w:marLeft w:val="0"/>
                          <w:marRight w:val="0"/>
                          <w:marTop w:val="0"/>
                          <w:marBottom w:val="0"/>
                          <w:divBdr>
                            <w:top w:val="none" w:sz="0" w:space="0" w:color="auto"/>
                            <w:left w:val="none" w:sz="0" w:space="0" w:color="auto"/>
                            <w:bottom w:val="none" w:sz="0" w:space="0" w:color="auto"/>
                            <w:right w:val="none" w:sz="0" w:space="0" w:color="auto"/>
                          </w:divBdr>
                          <w:divsChild>
                            <w:div w:id="900868316">
                              <w:marLeft w:val="0"/>
                              <w:marRight w:val="0"/>
                              <w:marTop w:val="0"/>
                              <w:marBottom w:val="0"/>
                              <w:divBdr>
                                <w:top w:val="none" w:sz="0" w:space="0" w:color="auto"/>
                                <w:left w:val="none" w:sz="0" w:space="0" w:color="auto"/>
                                <w:bottom w:val="none" w:sz="0" w:space="0" w:color="auto"/>
                                <w:right w:val="none" w:sz="0" w:space="0" w:color="auto"/>
                              </w:divBdr>
                              <w:divsChild>
                                <w:div w:id="315305174">
                                  <w:marLeft w:val="0"/>
                                  <w:marRight w:val="0"/>
                                  <w:marTop w:val="0"/>
                                  <w:marBottom w:val="450"/>
                                  <w:divBdr>
                                    <w:top w:val="none" w:sz="0" w:space="0" w:color="auto"/>
                                    <w:left w:val="none" w:sz="0" w:space="0" w:color="auto"/>
                                    <w:bottom w:val="none" w:sz="0" w:space="0" w:color="auto"/>
                                    <w:right w:val="none" w:sz="0" w:space="0" w:color="auto"/>
                                  </w:divBdr>
                                  <w:divsChild>
                                    <w:div w:id="58210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57967">
      <w:bodyDiv w:val="1"/>
      <w:marLeft w:val="0"/>
      <w:marRight w:val="0"/>
      <w:marTop w:val="0"/>
      <w:marBottom w:val="0"/>
      <w:divBdr>
        <w:top w:val="none" w:sz="0" w:space="0" w:color="auto"/>
        <w:left w:val="none" w:sz="0" w:space="0" w:color="auto"/>
        <w:bottom w:val="none" w:sz="0" w:space="0" w:color="auto"/>
        <w:right w:val="none" w:sz="0" w:space="0" w:color="auto"/>
      </w:divBdr>
      <w:divsChild>
        <w:div w:id="578255444">
          <w:marLeft w:val="0"/>
          <w:marRight w:val="0"/>
          <w:marTop w:val="0"/>
          <w:marBottom w:val="0"/>
          <w:divBdr>
            <w:top w:val="none" w:sz="0" w:space="0" w:color="auto"/>
            <w:left w:val="none" w:sz="0" w:space="0" w:color="auto"/>
            <w:bottom w:val="none" w:sz="0" w:space="0" w:color="auto"/>
            <w:right w:val="none" w:sz="0" w:space="0" w:color="auto"/>
          </w:divBdr>
          <w:divsChild>
            <w:div w:id="1335572004">
              <w:marLeft w:val="0"/>
              <w:marRight w:val="0"/>
              <w:marTop w:val="0"/>
              <w:marBottom w:val="0"/>
              <w:divBdr>
                <w:top w:val="none" w:sz="0" w:space="0" w:color="auto"/>
                <w:left w:val="none" w:sz="0" w:space="0" w:color="auto"/>
                <w:bottom w:val="none" w:sz="0" w:space="0" w:color="auto"/>
                <w:right w:val="none" w:sz="0" w:space="0" w:color="auto"/>
              </w:divBdr>
              <w:divsChild>
                <w:div w:id="191572960">
                  <w:marLeft w:val="0"/>
                  <w:marRight w:val="0"/>
                  <w:marTop w:val="0"/>
                  <w:marBottom w:val="0"/>
                  <w:divBdr>
                    <w:top w:val="none" w:sz="0" w:space="0" w:color="auto"/>
                    <w:left w:val="none" w:sz="0" w:space="0" w:color="auto"/>
                    <w:bottom w:val="none" w:sz="0" w:space="0" w:color="auto"/>
                    <w:right w:val="none" w:sz="0" w:space="0" w:color="auto"/>
                  </w:divBdr>
                  <w:divsChild>
                    <w:div w:id="1507592616">
                      <w:marLeft w:val="0"/>
                      <w:marRight w:val="0"/>
                      <w:marTop w:val="0"/>
                      <w:marBottom w:val="0"/>
                      <w:divBdr>
                        <w:top w:val="none" w:sz="0" w:space="0" w:color="auto"/>
                        <w:left w:val="none" w:sz="0" w:space="0" w:color="auto"/>
                        <w:bottom w:val="none" w:sz="0" w:space="0" w:color="auto"/>
                        <w:right w:val="none" w:sz="0" w:space="0" w:color="auto"/>
                      </w:divBdr>
                      <w:divsChild>
                        <w:div w:id="1735852054">
                          <w:marLeft w:val="0"/>
                          <w:marRight w:val="0"/>
                          <w:marTop w:val="0"/>
                          <w:marBottom w:val="0"/>
                          <w:divBdr>
                            <w:top w:val="none" w:sz="0" w:space="0" w:color="auto"/>
                            <w:left w:val="none" w:sz="0" w:space="0" w:color="auto"/>
                            <w:bottom w:val="none" w:sz="0" w:space="0" w:color="auto"/>
                            <w:right w:val="none" w:sz="0" w:space="0" w:color="auto"/>
                          </w:divBdr>
                          <w:divsChild>
                            <w:div w:id="148375311">
                              <w:marLeft w:val="0"/>
                              <w:marRight w:val="0"/>
                              <w:marTop w:val="0"/>
                              <w:marBottom w:val="0"/>
                              <w:divBdr>
                                <w:top w:val="none" w:sz="0" w:space="0" w:color="auto"/>
                                <w:left w:val="none" w:sz="0" w:space="0" w:color="auto"/>
                                <w:bottom w:val="none" w:sz="0" w:space="0" w:color="auto"/>
                                <w:right w:val="none" w:sz="0" w:space="0" w:color="auto"/>
                              </w:divBdr>
                              <w:divsChild>
                                <w:div w:id="274097670">
                                  <w:marLeft w:val="0"/>
                                  <w:marRight w:val="0"/>
                                  <w:marTop w:val="0"/>
                                  <w:marBottom w:val="0"/>
                                  <w:divBdr>
                                    <w:top w:val="none" w:sz="0" w:space="0" w:color="auto"/>
                                    <w:left w:val="none" w:sz="0" w:space="0" w:color="auto"/>
                                    <w:bottom w:val="none" w:sz="0" w:space="0" w:color="auto"/>
                                    <w:right w:val="none" w:sz="0" w:space="0" w:color="auto"/>
                                  </w:divBdr>
                                  <w:divsChild>
                                    <w:div w:id="291254689">
                                      <w:marLeft w:val="0"/>
                                      <w:marRight w:val="0"/>
                                      <w:marTop w:val="0"/>
                                      <w:marBottom w:val="0"/>
                                      <w:divBdr>
                                        <w:top w:val="none" w:sz="0" w:space="0" w:color="auto"/>
                                        <w:left w:val="none" w:sz="0" w:space="0" w:color="auto"/>
                                        <w:bottom w:val="none" w:sz="0" w:space="0" w:color="auto"/>
                                        <w:right w:val="none" w:sz="0" w:space="0" w:color="auto"/>
                                      </w:divBdr>
                                      <w:divsChild>
                                        <w:div w:id="1629430066">
                                          <w:marLeft w:val="0"/>
                                          <w:marRight w:val="0"/>
                                          <w:marTop w:val="0"/>
                                          <w:marBottom w:val="0"/>
                                          <w:divBdr>
                                            <w:top w:val="none" w:sz="0" w:space="0" w:color="auto"/>
                                            <w:left w:val="none" w:sz="0" w:space="0" w:color="auto"/>
                                            <w:bottom w:val="none" w:sz="0" w:space="0" w:color="auto"/>
                                            <w:right w:val="none" w:sz="0" w:space="0" w:color="auto"/>
                                          </w:divBdr>
                                          <w:divsChild>
                                            <w:div w:id="152092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2692647">
      <w:bodyDiv w:val="1"/>
      <w:marLeft w:val="0"/>
      <w:marRight w:val="0"/>
      <w:marTop w:val="0"/>
      <w:marBottom w:val="0"/>
      <w:divBdr>
        <w:top w:val="none" w:sz="0" w:space="0" w:color="auto"/>
        <w:left w:val="none" w:sz="0" w:space="0" w:color="auto"/>
        <w:bottom w:val="none" w:sz="0" w:space="0" w:color="auto"/>
        <w:right w:val="none" w:sz="0" w:space="0" w:color="auto"/>
      </w:divBdr>
    </w:div>
    <w:div w:id="543639752">
      <w:bodyDiv w:val="1"/>
      <w:marLeft w:val="0"/>
      <w:marRight w:val="0"/>
      <w:marTop w:val="0"/>
      <w:marBottom w:val="0"/>
      <w:divBdr>
        <w:top w:val="none" w:sz="0" w:space="0" w:color="auto"/>
        <w:left w:val="none" w:sz="0" w:space="0" w:color="auto"/>
        <w:bottom w:val="none" w:sz="0" w:space="0" w:color="auto"/>
        <w:right w:val="none" w:sz="0" w:space="0" w:color="auto"/>
      </w:divBdr>
    </w:div>
    <w:div w:id="549806775">
      <w:bodyDiv w:val="1"/>
      <w:marLeft w:val="0"/>
      <w:marRight w:val="0"/>
      <w:marTop w:val="0"/>
      <w:marBottom w:val="0"/>
      <w:divBdr>
        <w:top w:val="none" w:sz="0" w:space="0" w:color="auto"/>
        <w:left w:val="none" w:sz="0" w:space="0" w:color="auto"/>
        <w:bottom w:val="none" w:sz="0" w:space="0" w:color="auto"/>
        <w:right w:val="none" w:sz="0" w:space="0" w:color="auto"/>
      </w:divBdr>
    </w:div>
    <w:div w:id="568266830">
      <w:bodyDiv w:val="1"/>
      <w:marLeft w:val="0"/>
      <w:marRight w:val="0"/>
      <w:marTop w:val="0"/>
      <w:marBottom w:val="0"/>
      <w:divBdr>
        <w:top w:val="none" w:sz="0" w:space="0" w:color="auto"/>
        <w:left w:val="none" w:sz="0" w:space="0" w:color="auto"/>
        <w:bottom w:val="none" w:sz="0" w:space="0" w:color="auto"/>
        <w:right w:val="none" w:sz="0" w:space="0" w:color="auto"/>
      </w:divBdr>
      <w:divsChild>
        <w:div w:id="1082871094">
          <w:marLeft w:val="0"/>
          <w:marRight w:val="0"/>
          <w:marTop w:val="0"/>
          <w:marBottom w:val="0"/>
          <w:divBdr>
            <w:top w:val="none" w:sz="0" w:space="0" w:color="auto"/>
            <w:left w:val="none" w:sz="0" w:space="0" w:color="auto"/>
            <w:bottom w:val="none" w:sz="0" w:space="0" w:color="auto"/>
            <w:right w:val="none" w:sz="0" w:space="0" w:color="auto"/>
          </w:divBdr>
          <w:divsChild>
            <w:div w:id="432165021">
              <w:marLeft w:val="0"/>
              <w:marRight w:val="0"/>
              <w:marTop w:val="0"/>
              <w:marBottom w:val="0"/>
              <w:divBdr>
                <w:top w:val="none" w:sz="0" w:space="0" w:color="auto"/>
                <w:left w:val="none" w:sz="0" w:space="0" w:color="auto"/>
                <w:bottom w:val="none" w:sz="0" w:space="0" w:color="auto"/>
                <w:right w:val="none" w:sz="0" w:space="0" w:color="auto"/>
              </w:divBdr>
              <w:divsChild>
                <w:div w:id="117141729">
                  <w:marLeft w:val="0"/>
                  <w:marRight w:val="0"/>
                  <w:marTop w:val="0"/>
                  <w:marBottom w:val="0"/>
                  <w:divBdr>
                    <w:top w:val="none" w:sz="0" w:space="0" w:color="auto"/>
                    <w:left w:val="none" w:sz="0" w:space="0" w:color="auto"/>
                    <w:bottom w:val="none" w:sz="0" w:space="0" w:color="auto"/>
                    <w:right w:val="none" w:sz="0" w:space="0" w:color="auto"/>
                  </w:divBdr>
                  <w:divsChild>
                    <w:div w:id="1203322764">
                      <w:marLeft w:val="0"/>
                      <w:marRight w:val="0"/>
                      <w:marTop w:val="0"/>
                      <w:marBottom w:val="0"/>
                      <w:divBdr>
                        <w:top w:val="none" w:sz="0" w:space="0" w:color="auto"/>
                        <w:left w:val="none" w:sz="0" w:space="0" w:color="auto"/>
                        <w:bottom w:val="none" w:sz="0" w:space="0" w:color="auto"/>
                        <w:right w:val="none" w:sz="0" w:space="0" w:color="auto"/>
                      </w:divBdr>
                      <w:divsChild>
                        <w:div w:id="17112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710596">
      <w:bodyDiv w:val="1"/>
      <w:marLeft w:val="0"/>
      <w:marRight w:val="0"/>
      <w:marTop w:val="0"/>
      <w:marBottom w:val="0"/>
      <w:divBdr>
        <w:top w:val="none" w:sz="0" w:space="0" w:color="auto"/>
        <w:left w:val="none" w:sz="0" w:space="0" w:color="auto"/>
        <w:bottom w:val="none" w:sz="0" w:space="0" w:color="auto"/>
        <w:right w:val="none" w:sz="0" w:space="0" w:color="auto"/>
      </w:divBdr>
    </w:div>
    <w:div w:id="594437156">
      <w:bodyDiv w:val="1"/>
      <w:marLeft w:val="0"/>
      <w:marRight w:val="0"/>
      <w:marTop w:val="0"/>
      <w:marBottom w:val="0"/>
      <w:divBdr>
        <w:top w:val="none" w:sz="0" w:space="0" w:color="auto"/>
        <w:left w:val="none" w:sz="0" w:space="0" w:color="auto"/>
        <w:bottom w:val="none" w:sz="0" w:space="0" w:color="auto"/>
        <w:right w:val="none" w:sz="0" w:space="0" w:color="auto"/>
      </w:divBdr>
    </w:div>
    <w:div w:id="615645289">
      <w:bodyDiv w:val="1"/>
      <w:marLeft w:val="0"/>
      <w:marRight w:val="0"/>
      <w:marTop w:val="0"/>
      <w:marBottom w:val="0"/>
      <w:divBdr>
        <w:top w:val="none" w:sz="0" w:space="0" w:color="auto"/>
        <w:left w:val="none" w:sz="0" w:space="0" w:color="auto"/>
        <w:bottom w:val="none" w:sz="0" w:space="0" w:color="auto"/>
        <w:right w:val="none" w:sz="0" w:space="0" w:color="auto"/>
      </w:divBdr>
    </w:div>
    <w:div w:id="622417774">
      <w:bodyDiv w:val="1"/>
      <w:marLeft w:val="0"/>
      <w:marRight w:val="0"/>
      <w:marTop w:val="0"/>
      <w:marBottom w:val="0"/>
      <w:divBdr>
        <w:top w:val="none" w:sz="0" w:space="0" w:color="auto"/>
        <w:left w:val="none" w:sz="0" w:space="0" w:color="auto"/>
        <w:bottom w:val="none" w:sz="0" w:space="0" w:color="auto"/>
        <w:right w:val="none" w:sz="0" w:space="0" w:color="auto"/>
      </w:divBdr>
    </w:div>
    <w:div w:id="624576997">
      <w:bodyDiv w:val="1"/>
      <w:marLeft w:val="0"/>
      <w:marRight w:val="0"/>
      <w:marTop w:val="0"/>
      <w:marBottom w:val="0"/>
      <w:divBdr>
        <w:top w:val="none" w:sz="0" w:space="0" w:color="auto"/>
        <w:left w:val="none" w:sz="0" w:space="0" w:color="auto"/>
        <w:bottom w:val="none" w:sz="0" w:space="0" w:color="auto"/>
        <w:right w:val="none" w:sz="0" w:space="0" w:color="auto"/>
      </w:divBdr>
    </w:div>
    <w:div w:id="639771850">
      <w:bodyDiv w:val="1"/>
      <w:marLeft w:val="0"/>
      <w:marRight w:val="0"/>
      <w:marTop w:val="0"/>
      <w:marBottom w:val="0"/>
      <w:divBdr>
        <w:top w:val="none" w:sz="0" w:space="0" w:color="auto"/>
        <w:left w:val="none" w:sz="0" w:space="0" w:color="auto"/>
        <w:bottom w:val="none" w:sz="0" w:space="0" w:color="auto"/>
        <w:right w:val="none" w:sz="0" w:space="0" w:color="auto"/>
      </w:divBdr>
    </w:div>
    <w:div w:id="647634169">
      <w:bodyDiv w:val="1"/>
      <w:marLeft w:val="0"/>
      <w:marRight w:val="0"/>
      <w:marTop w:val="0"/>
      <w:marBottom w:val="0"/>
      <w:divBdr>
        <w:top w:val="none" w:sz="0" w:space="0" w:color="auto"/>
        <w:left w:val="none" w:sz="0" w:space="0" w:color="auto"/>
        <w:bottom w:val="none" w:sz="0" w:space="0" w:color="auto"/>
        <w:right w:val="none" w:sz="0" w:space="0" w:color="auto"/>
      </w:divBdr>
    </w:div>
    <w:div w:id="668560827">
      <w:bodyDiv w:val="1"/>
      <w:marLeft w:val="0"/>
      <w:marRight w:val="0"/>
      <w:marTop w:val="0"/>
      <w:marBottom w:val="0"/>
      <w:divBdr>
        <w:top w:val="none" w:sz="0" w:space="0" w:color="auto"/>
        <w:left w:val="none" w:sz="0" w:space="0" w:color="auto"/>
        <w:bottom w:val="none" w:sz="0" w:space="0" w:color="auto"/>
        <w:right w:val="none" w:sz="0" w:space="0" w:color="auto"/>
      </w:divBdr>
    </w:div>
    <w:div w:id="683095393">
      <w:bodyDiv w:val="1"/>
      <w:marLeft w:val="0"/>
      <w:marRight w:val="0"/>
      <w:marTop w:val="0"/>
      <w:marBottom w:val="0"/>
      <w:divBdr>
        <w:top w:val="none" w:sz="0" w:space="0" w:color="auto"/>
        <w:left w:val="none" w:sz="0" w:space="0" w:color="auto"/>
        <w:bottom w:val="none" w:sz="0" w:space="0" w:color="auto"/>
        <w:right w:val="none" w:sz="0" w:space="0" w:color="auto"/>
      </w:divBdr>
    </w:div>
    <w:div w:id="694693437">
      <w:bodyDiv w:val="1"/>
      <w:marLeft w:val="0"/>
      <w:marRight w:val="0"/>
      <w:marTop w:val="0"/>
      <w:marBottom w:val="0"/>
      <w:divBdr>
        <w:top w:val="none" w:sz="0" w:space="0" w:color="auto"/>
        <w:left w:val="none" w:sz="0" w:space="0" w:color="auto"/>
        <w:bottom w:val="none" w:sz="0" w:space="0" w:color="auto"/>
        <w:right w:val="none" w:sz="0" w:space="0" w:color="auto"/>
      </w:divBdr>
    </w:div>
    <w:div w:id="700977680">
      <w:bodyDiv w:val="1"/>
      <w:marLeft w:val="0"/>
      <w:marRight w:val="0"/>
      <w:marTop w:val="0"/>
      <w:marBottom w:val="0"/>
      <w:divBdr>
        <w:top w:val="none" w:sz="0" w:space="0" w:color="auto"/>
        <w:left w:val="none" w:sz="0" w:space="0" w:color="auto"/>
        <w:bottom w:val="none" w:sz="0" w:space="0" w:color="auto"/>
        <w:right w:val="none" w:sz="0" w:space="0" w:color="auto"/>
      </w:divBdr>
    </w:div>
    <w:div w:id="764228985">
      <w:bodyDiv w:val="1"/>
      <w:marLeft w:val="0"/>
      <w:marRight w:val="0"/>
      <w:marTop w:val="0"/>
      <w:marBottom w:val="0"/>
      <w:divBdr>
        <w:top w:val="none" w:sz="0" w:space="0" w:color="auto"/>
        <w:left w:val="none" w:sz="0" w:space="0" w:color="auto"/>
        <w:bottom w:val="none" w:sz="0" w:space="0" w:color="auto"/>
        <w:right w:val="none" w:sz="0" w:space="0" w:color="auto"/>
      </w:divBdr>
    </w:div>
    <w:div w:id="795756869">
      <w:bodyDiv w:val="1"/>
      <w:marLeft w:val="0"/>
      <w:marRight w:val="0"/>
      <w:marTop w:val="0"/>
      <w:marBottom w:val="0"/>
      <w:divBdr>
        <w:top w:val="none" w:sz="0" w:space="0" w:color="auto"/>
        <w:left w:val="none" w:sz="0" w:space="0" w:color="auto"/>
        <w:bottom w:val="none" w:sz="0" w:space="0" w:color="auto"/>
        <w:right w:val="none" w:sz="0" w:space="0" w:color="auto"/>
      </w:divBdr>
    </w:div>
    <w:div w:id="799611354">
      <w:bodyDiv w:val="1"/>
      <w:marLeft w:val="0"/>
      <w:marRight w:val="0"/>
      <w:marTop w:val="0"/>
      <w:marBottom w:val="0"/>
      <w:divBdr>
        <w:top w:val="none" w:sz="0" w:space="0" w:color="auto"/>
        <w:left w:val="none" w:sz="0" w:space="0" w:color="auto"/>
        <w:bottom w:val="none" w:sz="0" w:space="0" w:color="auto"/>
        <w:right w:val="none" w:sz="0" w:space="0" w:color="auto"/>
      </w:divBdr>
    </w:div>
    <w:div w:id="801197354">
      <w:bodyDiv w:val="1"/>
      <w:marLeft w:val="0"/>
      <w:marRight w:val="0"/>
      <w:marTop w:val="0"/>
      <w:marBottom w:val="0"/>
      <w:divBdr>
        <w:top w:val="none" w:sz="0" w:space="0" w:color="auto"/>
        <w:left w:val="none" w:sz="0" w:space="0" w:color="auto"/>
        <w:bottom w:val="none" w:sz="0" w:space="0" w:color="auto"/>
        <w:right w:val="none" w:sz="0" w:space="0" w:color="auto"/>
      </w:divBdr>
    </w:div>
    <w:div w:id="850069314">
      <w:bodyDiv w:val="1"/>
      <w:marLeft w:val="0"/>
      <w:marRight w:val="0"/>
      <w:marTop w:val="0"/>
      <w:marBottom w:val="0"/>
      <w:divBdr>
        <w:top w:val="none" w:sz="0" w:space="0" w:color="auto"/>
        <w:left w:val="none" w:sz="0" w:space="0" w:color="auto"/>
        <w:bottom w:val="none" w:sz="0" w:space="0" w:color="auto"/>
        <w:right w:val="none" w:sz="0" w:space="0" w:color="auto"/>
      </w:divBdr>
    </w:div>
    <w:div w:id="865292169">
      <w:bodyDiv w:val="1"/>
      <w:marLeft w:val="0"/>
      <w:marRight w:val="0"/>
      <w:marTop w:val="0"/>
      <w:marBottom w:val="0"/>
      <w:divBdr>
        <w:top w:val="none" w:sz="0" w:space="0" w:color="auto"/>
        <w:left w:val="none" w:sz="0" w:space="0" w:color="auto"/>
        <w:bottom w:val="none" w:sz="0" w:space="0" w:color="auto"/>
        <w:right w:val="none" w:sz="0" w:space="0" w:color="auto"/>
      </w:divBdr>
    </w:div>
    <w:div w:id="873612070">
      <w:bodyDiv w:val="1"/>
      <w:marLeft w:val="0"/>
      <w:marRight w:val="0"/>
      <w:marTop w:val="0"/>
      <w:marBottom w:val="0"/>
      <w:divBdr>
        <w:top w:val="none" w:sz="0" w:space="0" w:color="auto"/>
        <w:left w:val="none" w:sz="0" w:space="0" w:color="auto"/>
        <w:bottom w:val="none" w:sz="0" w:space="0" w:color="auto"/>
        <w:right w:val="none" w:sz="0" w:space="0" w:color="auto"/>
      </w:divBdr>
    </w:div>
    <w:div w:id="878206849">
      <w:bodyDiv w:val="1"/>
      <w:marLeft w:val="0"/>
      <w:marRight w:val="0"/>
      <w:marTop w:val="0"/>
      <w:marBottom w:val="0"/>
      <w:divBdr>
        <w:top w:val="none" w:sz="0" w:space="0" w:color="auto"/>
        <w:left w:val="none" w:sz="0" w:space="0" w:color="auto"/>
        <w:bottom w:val="none" w:sz="0" w:space="0" w:color="auto"/>
        <w:right w:val="none" w:sz="0" w:space="0" w:color="auto"/>
      </w:divBdr>
    </w:div>
    <w:div w:id="881015066">
      <w:bodyDiv w:val="1"/>
      <w:marLeft w:val="0"/>
      <w:marRight w:val="0"/>
      <w:marTop w:val="0"/>
      <w:marBottom w:val="0"/>
      <w:divBdr>
        <w:top w:val="none" w:sz="0" w:space="0" w:color="auto"/>
        <w:left w:val="none" w:sz="0" w:space="0" w:color="auto"/>
        <w:bottom w:val="none" w:sz="0" w:space="0" w:color="auto"/>
        <w:right w:val="none" w:sz="0" w:space="0" w:color="auto"/>
      </w:divBdr>
    </w:div>
    <w:div w:id="881863262">
      <w:bodyDiv w:val="1"/>
      <w:marLeft w:val="0"/>
      <w:marRight w:val="0"/>
      <w:marTop w:val="0"/>
      <w:marBottom w:val="0"/>
      <w:divBdr>
        <w:top w:val="none" w:sz="0" w:space="0" w:color="auto"/>
        <w:left w:val="none" w:sz="0" w:space="0" w:color="auto"/>
        <w:bottom w:val="none" w:sz="0" w:space="0" w:color="auto"/>
        <w:right w:val="none" w:sz="0" w:space="0" w:color="auto"/>
      </w:divBdr>
    </w:div>
    <w:div w:id="911889279">
      <w:bodyDiv w:val="1"/>
      <w:marLeft w:val="0"/>
      <w:marRight w:val="0"/>
      <w:marTop w:val="0"/>
      <w:marBottom w:val="0"/>
      <w:divBdr>
        <w:top w:val="none" w:sz="0" w:space="0" w:color="auto"/>
        <w:left w:val="none" w:sz="0" w:space="0" w:color="auto"/>
        <w:bottom w:val="none" w:sz="0" w:space="0" w:color="auto"/>
        <w:right w:val="none" w:sz="0" w:space="0" w:color="auto"/>
      </w:divBdr>
    </w:div>
    <w:div w:id="913667448">
      <w:bodyDiv w:val="1"/>
      <w:marLeft w:val="0"/>
      <w:marRight w:val="0"/>
      <w:marTop w:val="0"/>
      <w:marBottom w:val="0"/>
      <w:divBdr>
        <w:top w:val="none" w:sz="0" w:space="0" w:color="auto"/>
        <w:left w:val="none" w:sz="0" w:space="0" w:color="auto"/>
        <w:bottom w:val="none" w:sz="0" w:space="0" w:color="auto"/>
        <w:right w:val="none" w:sz="0" w:space="0" w:color="auto"/>
      </w:divBdr>
    </w:div>
    <w:div w:id="924731472">
      <w:bodyDiv w:val="1"/>
      <w:marLeft w:val="0"/>
      <w:marRight w:val="0"/>
      <w:marTop w:val="0"/>
      <w:marBottom w:val="0"/>
      <w:divBdr>
        <w:top w:val="none" w:sz="0" w:space="0" w:color="auto"/>
        <w:left w:val="none" w:sz="0" w:space="0" w:color="auto"/>
        <w:bottom w:val="none" w:sz="0" w:space="0" w:color="auto"/>
        <w:right w:val="none" w:sz="0" w:space="0" w:color="auto"/>
      </w:divBdr>
    </w:div>
    <w:div w:id="966275424">
      <w:bodyDiv w:val="1"/>
      <w:marLeft w:val="0"/>
      <w:marRight w:val="0"/>
      <w:marTop w:val="0"/>
      <w:marBottom w:val="0"/>
      <w:divBdr>
        <w:top w:val="none" w:sz="0" w:space="0" w:color="auto"/>
        <w:left w:val="none" w:sz="0" w:space="0" w:color="auto"/>
        <w:bottom w:val="none" w:sz="0" w:space="0" w:color="auto"/>
        <w:right w:val="none" w:sz="0" w:space="0" w:color="auto"/>
      </w:divBdr>
    </w:div>
    <w:div w:id="1008410834">
      <w:bodyDiv w:val="1"/>
      <w:marLeft w:val="0"/>
      <w:marRight w:val="0"/>
      <w:marTop w:val="0"/>
      <w:marBottom w:val="0"/>
      <w:divBdr>
        <w:top w:val="none" w:sz="0" w:space="0" w:color="auto"/>
        <w:left w:val="none" w:sz="0" w:space="0" w:color="auto"/>
        <w:bottom w:val="none" w:sz="0" w:space="0" w:color="auto"/>
        <w:right w:val="none" w:sz="0" w:space="0" w:color="auto"/>
      </w:divBdr>
    </w:div>
    <w:div w:id="1028799380">
      <w:bodyDiv w:val="1"/>
      <w:marLeft w:val="0"/>
      <w:marRight w:val="0"/>
      <w:marTop w:val="0"/>
      <w:marBottom w:val="0"/>
      <w:divBdr>
        <w:top w:val="none" w:sz="0" w:space="0" w:color="auto"/>
        <w:left w:val="none" w:sz="0" w:space="0" w:color="auto"/>
        <w:bottom w:val="none" w:sz="0" w:space="0" w:color="auto"/>
        <w:right w:val="none" w:sz="0" w:space="0" w:color="auto"/>
      </w:divBdr>
    </w:div>
    <w:div w:id="1030641744">
      <w:bodyDiv w:val="1"/>
      <w:marLeft w:val="0"/>
      <w:marRight w:val="0"/>
      <w:marTop w:val="0"/>
      <w:marBottom w:val="0"/>
      <w:divBdr>
        <w:top w:val="none" w:sz="0" w:space="0" w:color="auto"/>
        <w:left w:val="none" w:sz="0" w:space="0" w:color="auto"/>
        <w:bottom w:val="none" w:sz="0" w:space="0" w:color="auto"/>
        <w:right w:val="none" w:sz="0" w:space="0" w:color="auto"/>
      </w:divBdr>
    </w:div>
    <w:div w:id="1073577982">
      <w:bodyDiv w:val="1"/>
      <w:marLeft w:val="0"/>
      <w:marRight w:val="0"/>
      <w:marTop w:val="0"/>
      <w:marBottom w:val="0"/>
      <w:divBdr>
        <w:top w:val="none" w:sz="0" w:space="0" w:color="auto"/>
        <w:left w:val="none" w:sz="0" w:space="0" w:color="auto"/>
        <w:bottom w:val="none" w:sz="0" w:space="0" w:color="auto"/>
        <w:right w:val="none" w:sz="0" w:space="0" w:color="auto"/>
      </w:divBdr>
    </w:div>
    <w:div w:id="1090276021">
      <w:bodyDiv w:val="1"/>
      <w:marLeft w:val="0"/>
      <w:marRight w:val="0"/>
      <w:marTop w:val="0"/>
      <w:marBottom w:val="0"/>
      <w:divBdr>
        <w:top w:val="none" w:sz="0" w:space="0" w:color="auto"/>
        <w:left w:val="none" w:sz="0" w:space="0" w:color="auto"/>
        <w:bottom w:val="none" w:sz="0" w:space="0" w:color="auto"/>
        <w:right w:val="none" w:sz="0" w:space="0" w:color="auto"/>
      </w:divBdr>
    </w:div>
    <w:div w:id="1141996537">
      <w:bodyDiv w:val="1"/>
      <w:marLeft w:val="0"/>
      <w:marRight w:val="0"/>
      <w:marTop w:val="0"/>
      <w:marBottom w:val="0"/>
      <w:divBdr>
        <w:top w:val="none" w:sz="0" w:space="0" w:color="auto"/>
        <w:left w:val="none" w:sz="0" w:space="0" w:color="auto"/>
        <w:bottom w:val="none" w:sz="0" w:space="0" w:color="auto"/>
        <w:right w:val="none" w:sz="0" w:space="0" w:color="auto"/>
      </w:divBdr>
    </w:div>
    <w:div w:id="1156997338">
      <w:bodyDiv w:val="1"/>
      <w:marLeft w:val="0"/>
      <w:marRight w:val="0"/>
      <w:marTop w:val="0"/>
      <w:marBottom w:val="0"/>
      <w:divBdr>
        <w:top w:val="none" w:sz="0" w:space="0" w:color="auto"/>
        <w:left w:val="none" w:sz="0" w:space="0" w:color="auto"/>
        <w:bottom w:val="none" w:sz="0" w:space="0" w:color="auto"/>
        <w:right w:val="none" w:sz="0" w:space="0" w:color="auto"/>
      </w:divBdr>
    </w:div>
    <w:div w:id="1162769100">
      <w:bodyDiv w:val="1"/>
      <w:marLeft w:val="0"/>
      <w:marRight w:val="0"/>
      <w:marTop w:val="0"/>
      <w:marBottom w:val="0"/>
      <w:divBdr>
        <w:top w:val="none" w:sz="0" w:space="0" w:color="auto"/>
        <w:left w:val="none" w:sz="0" w:space="0" w:color="auto"/>
        <w:bottom w:val="none" w:sz="0" w:space="0" w:color="auto"/>
        <w:right w:val="none" w:sz="0" w:space="0" w:color="auto"/>
      </w:divBdr>
    </w:div>
    <w:div w:id="1169640050">
      <w:bodyDiv w:val="1"/>
      <w:marLeft w:val="0"/>
      <w:marRight w:val="0"/>
      <w:marTop w:val="0"/>
      <w:marBottom w:val="0"/>
      <w:divBdr>
        <w:top w:val="none" w:sz="0" w:space="0" w:color="auto"/>
        <w:left w:val="none" w:sz="0" w:space="0" w:color="auto"/>
        <w:bottom w:val="none" w:sz="0" w:space="0" w:color="auto"/>
        <w:right w:val="none" w:sz="0" w:space="0" w:color="auto"/>
      </w:divBdr>
    </w:div>
    <w:div w:id="1183202404">
      <w:bodyDiv w:val="1"/>
      <w:marLeft w:val="0"/>
      <w:marRight w:val="0"/>
      <w:marTop w:val="0"/>
      <w:marBottom w:val="0"/>
      <w:divBdr>
        <w:top w:val="none" w:sz="0" w:space="0" w:color="auto"/>
        <w:left w:val="none" w:sz="0" w:space="0" w:color="auto"/>
        <w:bottom w:val="none" w:sz="0" w:space="0" w:color="auto"/>
        <w:right w:val="none" w:sz="0" w:space="0" w:color="auto"/>
      </w:divBdr>
    </w:div>
    <w:div w:id="1188250786">
      <w:bodyDiv w:val="1"/>
      <w:marLeft w:val="0"/>
      <w:marRight w:val="0"/>
      <w:marTop w:val="0"/>
      <w:marBottom w:val="0"/>
      <w:divBdr>
        <w:top w:val="none" w:sz="0" w:space="0" w:color="auto"/>
        <w:left w:val="none" w:sz="0" w:space="0" w:color="auto"/>
        <w:bottom w:val="none" w:sz="0" w:space="0" w:color="auto"/>
        <w:right w:val="none" w:sz="0" w:space="0" w:color="auto"/>
      </w:divBdr>
    </w:div>
    <w:div w:id="1231428029">
      <w:bodyDiv w:val="1"/>
      <w:marLeft w:val="0"/>
      <w:marRight w:val="0"/>
      <w:marTop w:val="0"/>
      <w:marBottom w:val="0"/>
      <w:divBdr>
        <w:top w:val="none" w:sz="0" w:space="0" w:color="auto"/>
        <w:left w:val="none" w:sz="0" w:space="0" w:color="auto"/>
        <w:bottom w:val="none" w:sz="0" w:space="0" w:color="auto"/>
        <w:right w:val="none" w:sz="0" w:space="0" w:color="auto"/>
      </w:divBdr>
    </w:div>
    <w:div w:id="1231649532">
      <w:bodyDiv w:val="1"/>
      <w:marLeft w:val="0"/>
      <w:marRight w:val="0"/>
      <w:marTop w:val="0"/>
      <w:marBottom w:val="0"/>
      <w:divBdr>
        <w:top w:val="none" w:sz="0" w:space="0" w:color="auto"/>
        <w:left w:val="none" w:sz="0" w:space="0" w:color="auto"/>
        <w:bottom w:val="none" w:sz="0" w:space="0" w:color="auto"/>
        <w:right w:val="none" w:sz="0" w:space="0" w:color="auto"/>
      </w:divBdr>
    </w:div>
    <w:div w:id="1243218598">
      <w:bodyDiv w:val="1"/>
      <w:marLeft w:val="0"/>
      <w:marRight w:val="0"/>
      <w:marTop w:val="0"/>
      <w:marBottom w:val="0"/>
      <w:divBdr>
        <w:top w:val="none" w:sz="0" w:space="0" w:color="auto"/>
        <w:left w:val="none" w:sz="0" w:space="0" w:color="auto"/>
        <w:bottom w:val="none" w:sz="0" w:space="0" w:color="auto"/>
        <w:right w:val="none" w:sz="0" w:space="0" w:color="auto"/>
      </w:divBdr>
    </w:div>
    <w:div w:id="1265769343">
      <w:bodyDiv w:val="1"/>
      <w:marLeft w:val="0"/>
      <w:marRight w:val="0"/>
      <w:marTop w:val="0"/>
      <w:marBottom w:val="0"/>
      <w:divBdr>
        <w:top w:val="none" w:sz="0" w:space="0" w:color="auto"/>
        <w:left w:val="none" w:sz="0" w:space="0" w:color="auto"/>
        <w:bottom w:val="none" w:sz="0" w:space="0" w:color="auto"/>
        <w:right w:val="none" w:sz="0" w:space="0" w:color="auto"/>
      </w:divBdr>
    </w:div>
    <w:div w:id="1280180715">
      <w:bodyDiv w:val="1"/>
      <w:marLeft w:val="0"/>
      <w:marRight w:val="0"/>
      <w:marTop w:val="0"/>
      <w:marBottom w:val="0"/>
      <w:divBdr>
        <w:top w:val="none" w:sz="0" w:space="0" w:color="auto"/>
        <w:left w:val="none" w:sz="0" w:space="0" w:color="auto"/>
        <w:bottom w:val="none" w:sz="0" w:space="0" w:color="auto"/>
        <w:right w:val="none" w:sz="0" w:space="0" w:color="auto"/>
      </w:divBdr>
    </w:div>
    <w:div w:id="1281300470">
      <w:bodyDiv w:val="1"/>
      <w:marLeft w:val="0"/>
      <w:marRight w:val="0"/>
      <w:marTop w:val="0"/>
      <w:marBottom w:val="0"/>
      <w:divBdr>
        <w:top w:val="none" w:sz="0" w:space="0" w:color="auto"/>
        <w:left w:val="none" w:sz="0" w:space="0" w:color="auto"/>
        <w:bottom w:val="none" w:sz="0" w:space="0" w:color="auto"/>
        <w:right w:val="none" w:sz="0" w:space="0" w:color="auto"/>
      </w:divBdr>
    </w:div>
    <w:div w:id="1282689635">
      <w:bodyDiv w:val="1"/>
      <w:marLeft w:val="0"/>
      <w:marRight w:val="0"/>
      <w:marTop w:val="0"/>
      <w:marBottom w:val="0"/>
      <w:divBdr>
        <w:top w:val="none" w:sz="0" w:space="0" w:color="auto"/>
        <w:left w:val="none" w:sz="0" w:space="0" w:color="auto"/>
        <w:bottom w:val="none" w:sz="0" w:space="0" w:color="auto"/>
        <w:right w:val="none" w:sz="0" w:space="0" w:color="auto"/>
      </w:divBdr>
    </w:div>
    <w:div w:id="1293247636">
      <w:bodyDiv w:val="1"/>
      <w:marLeft w:val="0"/>
      <w:marRight w:val="0"/>
      <w:marTop w:val="0"/>
      <w:marBottom w:val="0"/>
      <w:divBdr>
        <w:top w:val="none" w:sz="0" w:space="0" w:color="auto"/>
        <w:left w:val="none" w:sz="0" w:space="0" w:color="auto"/>
        <w:bottom w:val="none" w:sz="0" w:space="0" w:color="auto"/>
        <w:right w:val="none" w:sz="0" w:space="0" w:color="auto"/>
      </w:divBdr>
    </w:div>
    <w:div w:id="1293441159">
      <w:bodyDiv w:val="1"/>
      <w:marLeft w:val="0"/>
      <w:marRight w:val="0"/>
      <w:marTop w:val="0"/>
      <w:marBottom w:val="0"/>
      <w:divBdr>
        <w:top w:val="none" w:sz="0" w:space="0" w:color="auto"/>
        <w:left w:val="none" w:sz="0" w:space="0" w:color="auto"/>
        <w:bottom w:val="none" w:sz="0" w:space="0" w:color="auto"/>
        <w:right w:val="none" w:sz="0" w:space="0" w:color="auto"/>
      </w:divBdr>
    </w:div>
    <w:div w:id="1319924742">
      <w:bodyDiv w:val="1"/>
      <w:marLeft w:val="0"/>
      <w:marRight w:val="0"/>
      <w:marTop w:val="0"/>
      <w:marBottom w:val="0"/>
      <w:divBdr>
        <w:top w:val="none" w:sz="0" w:space="0" w:color="auto"/>
        <w:left w:val="none" w:sz="0" w:space="0" w:color="auto"/>
        <w:bottom w:val="none" w:sz="0" w:space="0" w:color="auto"/>
        <w:right w:val="none" w:sz="0" w:space="0" w:color="auto"/>
      </w:divBdr>
    </w:div>
    <w:div w:id="1322153518">
      <w:bodyDiv w:val="1"/>
      <w:marLeft w:val="0"/>
      <w:marRight w:val="0"/>
      <w:marTop w:val="0"/>
      <w:marBottom w:val="0"/>
      <w:divBdr>
        <w:top w:val="none" w:sz="0" w:space="0" w:color="auto"/>
        <w:left w:val="none" w:sz="0" w:space="0" w:color="auto"/>
        <w:bottom w:val="none" w:sz="0" w:space="0" w:color="auto"/>
        <w:right w:val="none" w:sz="0" w:space="0" w:color="auto"/>
      </w:divBdr>
    </w:div>
    <w:div w:id="1326012403">
      <w:bodyDiv w:val="1"/>
      <w:marLeft w:val="0"/>
      <w:marRight w:val="0"/>
      <w:marTop w:val="0"/>
      <w:marBottom w:val="0"/>
      <w:divBdr>
        <w:top w:val="none" w:sz="0" w:space="0" w:color="auto"/>
        <w:left w:val="none" w:sz="0" w:space="0" w:color="auto"/>
        <w:bottom w:val="none" w:sz="0" w:space="0" w:color="auto"/>
        <w:right w:val="none" w:sz="0" w:space="0" w:color="auto"/>
      </w:divBdr>
    </w:div>
    <w:div w:id="1334995499">
      <w:bodyDiv w:val="1"/>
      <w:marLeft w:val="0"/>
      <w:marRight w:val="0"/>
      <w:marTop w:val="0"/>
      <w:marBottom w:val="0"/>
      <w:divBdr>
        <w:top w:val="none" w:sz="0" w:space="0" w:color="auto"/>
        <w:left w:val="none" w:sz="0" w:space="0" w:color="auto"/>
        <w:bottom w:val="none" w:sz="0" w:space="0" w:color="auto"/>
        <w:right w:val="none" w:sz="0" w:space="0" w:color="auto"/>
      </w:divBdr>
    </w:div>
    <w:div w:id="1348361205">
      <w:bodyDiv w:val="1"/>
      <w:marLeft w:val="0"/>
      <w:marRight w:val="0"/>
      <w:marTop w:val="0"/>
      <w:marBottom w:val="0"/>
      <w:divBdr>
        <w:top w:val="none" w:sz="0" w:space="0" w:color="auto"/>
        <w:left w:val="none" w:sz="0" w:space="0" w:color="auto"/>
        <w:bottom w:val="none" w:sz="0" w:space="0" w:color="auto"/>
        <w:right w:val="none" w:sz="0" w:space="0" w:color="auto"/>
      </w:divBdr>
    </w:div>
    <w:div w:id="1375697506">
      <w:bodyDiv w:val="1"/>
      <w:marLeft w:val="0"/>
      <w:marRight w:val="0"/>
      <w:marTop w:val="0"/>
      <w:marBottom w:val="0"/>
      <w:divBdr>
        <w:top w:val="none" w:sz="0" w:space="0" w:color="auto"/>
        <w:left w:val="none" w:sz="0" w:space="0" w:color="auto"/>
        <w:bottom w:val="none" w:sz="0" w:space="0" w:color="auto"/>
        <w:right w:val="none" w:sz="0" w:space="0" w:color="auto"/>
      </w:divBdr>
    </w:div>
    <w:div w:id="1379276142">
      <w:bodyDiv w:val="1"/>
      <w:marLeft w:val="0"/>
      <w:marRight w:val="0"/>
      <w:marTop w:val="0"/>
      <w:marBottom w:val="0"/>
      <w:divBdr>
        <w:top w:val="none" w:sz="0" w:space="0" w:color="auto"/>
        <w:left w:val="none" w:sz="0" w:space="0" w:color="auto"/>
        <w:bottom w:val="none" w:sz="0" w:space="0" w:color="auto"/>
        <w:right w:val="none" w:sz="0" w:space="0" w:color="auto"/>
      </w:divBdr>
    </w:div>
    <w:div w:id="1387800543">
      <w:bodyDiv w:val="1"/>
      <w:marLeft w:val="0"/>
      <w:marRight w:val="0"/>
      <w:marTop w:val="0"/>
      <w:marBottom w:val="0"/>
      <w:divBdr>
        <w:top w:val="none" w:sz="0" w:space="0" w:color="auto"/>
        <w:left w:val="none" w:sz="0" w:space="0" w:color="auto"/>
        <w:bottom w:val="none" w:sz="0" w:space="0" w:color="auto"/>
        <w:right w:val="none" w:sz="0" w:space="0" w:color="auto"/>
      </w:divBdr>
    </w:div>
    <w:div w:id="1416902488">
      <w:bodyDiv w:val="1"/>
      <w:marLeft w:val="0"/>
      <w:marRight w:val="0"/>
      <w:marTop w:val="0"/>
      <w:marBottom w:val="0"/>
      <w:divBdr>
        <w:top w:val="none" w:sz="0" w:space="0" w:color="auto"/>
        <w:left w:val="none" w:sz="0" w:space="0" w:color="auto"/>
        <w:bottom w:val="none" w:sz="0" w:space="0" w:color="auto"/>
        <w:right w:val="none" w:sz="0" w:space="0" w:color="auto"/>
      </w:divBdr>
    </w:div>
    <w:div w:id="1437024186">
      <w:bodyDiv w:val="1"/>
      <w:marLeft w:val="0"/>
      <w:marRight w:val="0"/>
      <w:marTop w:val="0"/>
      <w:marBottom w:val="0"/>
      <w:divBdr>
        <w:top w:val="none" w:sz="0" w:space="0" w:color="auto"/>
        <w:left w:val="none" w:sz="0" w:space="0" w:color="auto"/>
        <w:bottom w:val="none" w:sz="0" w:space="0" w:color="auto"/>
        <w:right w:val="none" w:sz="0" w:space="0" w:color="auto"/>
      </w:divBdr>
    </w:div>
    <w:div w:id="1450003196">
      <w:bodyDiv w:val="1"/>
      <w:marLeft w:val="0"/>
      <w:marRight w:val="0"/>
      <w:marTop w:val="0"/>
      <w:marBottom w:val="0"/>
      <w:divBdr>
        <w:top w:val="none" w:sz="0" w:space="0" w:color="auto"/>
        <w:left w:val="none" w:sz="0" w:space="0" w:color="auto"/>
        <w:bottom w:val="none" w:sz="0" w:space="0" w:color="auto"/>
        <w:right w:val="none" w:sz="0" w:space="0" w:color="auto"/>
      </w:divBdr>
    </w:div>
    <w:div w:id="1493715102">
      <w:bodyDiv w:val="1"/>
      <w:marLeft w:val="0"/>
      <w:marRight w:val="0"/>
      <w:marTop w:val="0"/>
      <w:marBottom w:val="0"/>
      <w:divBdr>
        <w:top w:val="none" w:sz="0" w:space="0" w:color="auto"/>
        <w:left w:val="none" w:sz="0" w:space="0" w:color="auto"/>
        <w:bottom w:val="none" w:sz="0" w:space="0" w:color="auto"/>
        <w:right w:val="none" w:sz="0" w:space="0" w:color="auto"/>
      </w:divBdr>
    </w:div>
    <w:div w:id="1495877005">
      <w:bodyDiv w:val="1"/>
      <w:marLeft w:val="0"/>
      <w:marRight w:val="0"/>
      <w:marTop w:val="0"/>
      <w:marBottom w:val="0"/>
      <w:divBdr>
        <w:top w:val="none" w:sz="0" w:space="0" w:color="auto"/>
        <w:left w:val="none" w:sz="0" w:space="0" w:color="auto"/>
        <w:bottom w:val="none" w:sz="0" w:space="0" w:color="auto"/>
        <w:right w:val="none" w:sz="0" w:space="0" w:color="auto"/>
      </w:divBdr>
    </w:div>
    <w:div w:id="1503741313">
      <w:bodyDiv w:val="1"/>
      <w:marLeft w:val="0"/>
      <w:marRight w:val="0"/>
      <w:marTop w:val="0"/>
      <w:marBottom w:val="0"/>
      <w:divBdr>
        <w:top w:val="none" w:sz="0" w:space="0" w:color="auto"/>
        <w:left w:val="none" w:sz="0" w:space="0" w:color="auto"/>
        <w:bottom w:val="none" w:sz="0" w:space="0" w:color="auto"/>
        <w:right w:val="none" w:sz="0" w:space="0" w:color="auto"/>
      </w:divBdr>
    </w:div>
    <w:div w:id="1518303562">
      <w:bodyDiv w:val="1"/>
      <w:marLeft w:val="0"/>
      <w:marRight w:val="0"/>
      <w:marTop w:val="0"/>
      <w:marBottom w:val="0"/>
      <w:divBdr>
        <w:top w:val="none" w:sz="0" w:space="0" w:color="auto"/>
        <w:left w:val="none" w:sz="0" w:space="0" w:color="auto"/>
        <w:bottom w:val="none" w:sz="0" w:space="0" w:color="auto"/>
        <w:right w:val="none" w:sz="0" w:space="0" w:color="auto"/>
      </w:divBdr>
      <w:divsChild>
        <w:div w:id="366486142">
          <w:marLeft w:val="0"/>
          <w:marRight w:val="0"/>
          <w:marTop w:val="0"/>
          <w:marBottom w:val="0"/>
          <w:divBdr>
            <w:top w:val="none" w:sz="0" w:space="0" w:color="auto"/>
            <w:left w:val="none" w:sz="0" w:space="0" w:color="auto"/>
            <w:bottom w:val="none" w:sz="0" w:space="0" w:color="auto"/>
            <w:right w:val="none" w:sz="0" w:space="0" w:color="auto"/>
          </w:divBdr>
          <w:divsChild>
            <w:div w:id="1633558571">
              <w:marLeft w:val="0"/>
              <w:marRight w:val="0"/>
              <w:marTop w:val="0"/>
              <w:marBottom w:val="0"/>
              <w:divBdr>
                <w:top w:val="none" w:sz="0" w:space="0" w:color="auto"/>
                <w:left w:val="none" w:sz="0" w:space="0" w:color="auto"/>
                <w:bottom w:val="none" w:sz="0" w:space="0" w:color="auto"/>
                <w:right w:val="none" w:sz="0" w:space="0" w:color="auto"/>
              </w:divBdr>
              <w:divsChild>
                <w:div w:id="2018998143">
                  <w:marLeft w:val="0"/>
                  <w:marRight w:val="0"/>
                  <w:marTop w:val="0"/>
                  <w:marBottom w:val="0"/>
                  <w:divBdr>
                    <w:top w:val="none" w:sz="0" w:space="0" w:color="auto"/>
                    <w:left w:val="none" w:sz="0" w:space="0" w:color="auto"/>
                    <w:bottom w:val="none" w:sz="0" w:space="0" w:color="auto"/>
                    <w:right w:val="none" w:sz="0" w:space="0" w:color="auto"/>
                  </w:divBdr>
                  <w:divsChild>
                    <w:div w:id="1509636340">
                      <w:marLeft w:val="0"/>
                      <w:marRight w:val="0"/>
                      <w:marTop w:val="0"/>
                      <w:marBottom w:val="0"/>
                      <w:divBdr>
                        <w:top w:val="none" w:sz="0" w:space="0" w:color="auto"/>
                        <w:left w:val="none" w:sz="0" w:space="0" w:color="auto"/>
                        <w:bottom w:val="none" w:sz="0" w:space="0" w:color="auto"/>
                        <w:right w:val="none" w:sz="0" w:space="0" w:color="auto"/>
                      </w:divBdr>
                      <w:divsChild>
                        <w:div w:id="1384333976">
                          <w:marLeft w:val="0"/>
                          <w:marRight w:val="0"/>
                          <w:marTop w:val="0"/>
                          <w:marBottom w:val="0"/>
                          <w:divBdr>
                            <w:top w:val="none" w:sz="0" w:space="0" w:color="auto"/>
                            <w:left w:val="none" w:sz="0" w:space="0" w:color="auto"/>
                            <w:bottom w:val="none" w:sz="0" w:space="0" w:color="auto"/>
                            <w:right w:val="none" w:sz="0" w:space="0" w:color="auto"/>
                          </w:divBdr>
                          <w:divsChild>
                            <w:div w:id="289672745">
                              <w:marLeft w:val="0"/>
                              <w:marRight w:val="0"/>
                              <w:marTop w:val="0"/>
                              <w:marBottom w:val="0"/>
                              <w:divBdr>
                                <w:top w:val="none" w:sz="0" w:space="0" w:color="auto"/>
                                <w:left w:val="none" w:sz="0" w:space="0" w:color="auto"/>
                                <w:bottom w:val="none" w:sz="0" w:space="0" w:color="auto"/>
                                <w:right w:val="none" w:sz="0" w:space="0" w:color="auto"/>
                              </w:divBdr>
                              <w:divsChild>
                                <w:div w:id="879708406">
                                  <w:marLeft w:val="0"/>
                                  <w:marRight w:val="0"/>
                                  <w:marTop w:val="0"/>
                                  <w:marBottom w:val="0"/>
                                  <w:divBdr>
                                    <w:top w:val="none" w:sz="0" w:space="0" w:color="auto"/>
                                    <w:left w:val="none" w:sz="0" w:space="0" w:color="auto"/>
                                    <w:bottom w:val="none" w:sz="0" w:space="0" w:color="auto"/>
                                    <w:right w:val="none" w:sz="0" w:space="0" w:color="auto"/>
                                  </w:divBdr>
                                  <w:divsChild>
                                    <w:div w:id="74299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213592">
      <w:bodyDiv w:val="1"/>
      <w:marLeft w:val="0"/>
      <w:marRight w:val="0"/>
      <w:marTop w:val="0"/>
      <w:marBottom w:val="0"/>
      <w:divBdr>
        <w:top w:val="none" w:sz="0" w:space="0" w:color="auto"/>
        <w:left w:val="none" w:sz="0" w:space="0" w:color="auto"/>
        <w:bottom w:val="none" w:sz="0" w:space="0" w:color="auto"/>
        <w:right w:val="none" w:sz="0" w:space="0" w:color="auto"/>
      </w:divBdr>
    </w:div>
    <w:div w:id="1555967748">
      <w:bodyDiv w:val="1"/>
      <w:marLeft w:val="0"/>
      <w:marRight w:val="0"/>
      <w:marTop w:val="0"/>
      <w:marBottom w:val="0"/>
      <w:divBdr>
        <w:top w:val="none" w:sz="0" w:space="0" w:color="auto"/>
        <w:left w:val="none" w:sz="0" w:space="0" w:color="auto"/>
        <w:bottom w:val="none" w:sz="0" w:space="0" w:color="auto"/>
        <w:right w:val="none" w:sz="0" w:space="0" w:color="auto"/>
      </w:divBdr>
      <w:divsChild>
        <w:div w:id="436684577">
          <w:marLeft w:val="0"/>
          <w:marRight w:val="0"/>
          <w:marTop w:val="0"/>
          <w:marBottom w:val="0"/>
          <w:divBdr>
            <w:top w:val="none" w:sz="0" w:space="0" w:color="auto"/>
            <w:left w:val="none" w:sz="0" w:space="0" w:color="auto"/>
            <w:bottom w:val="none" w:sz="0" w:space="0" w:color="auto"/>
            <w:right w:val="none" w:sz="0" w:space="0" w:color="auto"/>
          </w:divBdr>
        </w:div>
        <w:div w:id="668562613">
          <w:marLeft w:val="0"/>
          <w:marRight w:val="0"/>
          <w:marTop w:val="0"/>
          <w:marBottom w:val="0"/>
          <w:divBdr>
            <w:top w:val="none" w:sz="0" w:space="0" w:color="auto"/>
            <w:left w:val="none" w:sz="0" w:space="0" w:color="auto"/>
            <w:bottom w:val="none" w:sz="0" w:space="0" w:color="auto"/>
            <w:right w:val="none" w:sz="0" w:space="0" w:color="auto"/>
          </w:divBdr>
        </w:div>
        <w:div w:id="1492139468">
          <w:marLeft w:val="0"/>
          <w:marRight w:val="0"/>
          <w:marTop w:val="0"/>
          <w:marBottom w:val="0"/>
          <w:divBdr>
            <w:top w:val="none" w:sz="0" w:space="0" w:color="auto"/>
            <w:left w:val="none" w:sz="0" w:space="0" w:color="auto"/>
            <w:bottom w:val="none" w:sz="0" w:space="0" w:color="auto"/>
            <w:right w:val="none" w:sz="0" w:space="0" w:color="auto"/>
          </w:divBdr>
        </w:div>
        <w:div w:id="1531524657">
          <w:marLeft w:val="0"/>
          <w:marRight w:val="0"/>
          <w:marTop w:val="0"/>
          <w:marBottom w:val="0"/>
          <w:divBdr>
            <w:top w:val="none" w:sz="0" w:space="0" w:color="auto"/>
            <w:left w:val="none" w:sz="0" w:space="0" w:color="auto"/>
            <w:bottom w:val="none" w:sz="0" w:space="0" w:color="auto"/>
            <w:right w:val="none" w:sz="0" w:space="0" w:color="auto"/>
          </w:divBdr>
        </w:div>
        <w:div w:id="1668707475">
          <w:marLeft w:val="0"/>
          <w:marRight w:val="0"/>
          <w:marTop w:val="0"/>
          <w:marBottom w:val="0"/>
          <w:divBdr>
            <w:top w:val="none" w:sz="0" w:space="0" w:color="auto"/>
            <w:left w:val="none" w:sz="0" w:space="0" w:color="auto"/>
            <w:bottom w:val="none" w:sz="0" w:space="0" w:color="auto"/>
            <w:right w:val="none" w:sz="0" w:space="0" w:color="auto"/>
          </w:divBdr>
        </w:div>
        <w:div w:id="1686904465">
          <w:marLeft w:val="0"/>
          <w:marRight w:val="0"/>
          <w:marTop w:val="0"/>
          <w:marBottom w:val="0"/>
          <w:divBdr>
            <w:top w:val="none" w:sz="0" w:space="0" w:color="auto"/>
            <w:left w:val="none" w:sz="0" w:space="0" w:color="auto"/>
            <w:bottom w:val="none" w:sz="0" w:space="0" w:color="auto"/>
            <w:right w:val="none" w:sz="0" w:space="0" w:color="auto"/>
          </w:divBdr>
        </w:div>
        <w:div w:id="2106805172">
          <w:marLeft w:val="0"/>
          <w:marRight w:val="0"/>
          <w:marTop w:val="0"/>
          <w:marBottom w:val="0"/>
          <w:divBdr>
            <w:top w:val="none" w:sz="0" w:space="0" w:color="auto"/>
            <w:left w:val="none" w:sz="0" w:space="0" w:color="auto"/>
            <w:bottom w:val="none" w:sz="0" w:space="0" w:color="auto"/>
            <w:right w:val="none" w:sz="0" w:space="0" w:color="auto"/>
          </w:divBdr>
        </w:div>
      </w:divsChild>
    </w:div>
    <w:div w:id="1557936457">
      <w:bodyDiv w:val="1"/>
      <w:marLeft w:val="0"/>
      <w:marRight w:val="0"/>
      <w:marTop w:val="0"/>
      <w:marBottom w:val="0"/>
      <w:divBdr>
        <w:top w:val="none" w:sz="0" w:space="0" w:color="auto"/>
        <w:left w:val="none" w:sz="0" w:space="0" w:color="auto"/>
        <w:bottom w:val="none" w:sz="0" w:space="0" w:color="auto"/>
        <w:right w:val="none" w:sz="0" w:space="0" w:color="auto"/>
      </w:divBdr>
    </w:div>
    <w:div w:id="1559587629">
      <w:bodyDiv w:val="1"/>
      <w:marLeft w:val="0"/>
      <w:marRight w:val="0"/>
      <w:marTop w:val="0"/>
      <w:marBottom w:val="0"/>
      <w:divBdr>
        <w:top w:val="none" w:sz="0" w:space="0" w:color="auto"/>
        <w:left w:val="none" w:sz="0" w:space="0" w:color="auto"/>
        <w:bottom w:val="none" w:sz="0" w:space="0" w:color="auto"/>
        <w:right w:val="none" w:sz="0" w:space="0" w:color="auto"/>
      </w:divBdr>
    </w:div>
    <w:div w:id="1594319912">
      <w:bodyDiv w:val="1"/>
      <w:marLeft w:val="0"/>
      <w:marRight w:val="0"/>
      <w:marTop w:val="0"/>
      <w:marBottom w:val="0"/>
      <w:divBdr>
        <w:top w:val="none" w:sz="0" w:space="0" w:color="auto"/>
        <w:left w:val="none" w:sz="0" w:space="0" w:color="auto"/>
        <w:bottom w:val="none" w:sz="0" w:space="0" w:color="auto"/>
        <w:right w:val="none" w:sz="0" w:space="0" w:color="auto"/>
      </w:divBdr>
    </w:div>
    <w:div w:id="1596010640">
      <w:bodyDiv w:val="1"/>
      <w:marLeft w:val="0"/>
      <w:marRight w:val="0"/>
      <w:marTop w:val="0"/>
      <w:marBottom w:val="0"/>
      <w:divBdr>
        <w:top w:val="none" w:sz="0" w:space="0" w:color="auto"/>
        <w:left w:val="none" w:sz="0" w:space="0" w:color="auto"/>
        <w:bottom w:val="none" w:sz="0" w:space="0" w:color="auto"/>
        <w:right w:val="none" w:sz="0" w:space="0" w:color="auto"/>
      </w:divBdr>
    </w:div>
    <w:div w:id="1615599771">
      <w:bodyDiv w:val="1"/>
      <w:marLeft w:val="0"/>
      <w:marRight w:val="0"/>
      <w:marTop w:val="0"/>
      <w:marBottom w:val="0"/>
      <w:divBdr>
        <w:top w:val="none" w:sz="0" w:space="0" w:color="auto"/>
        <w:left w:val="none" w:sz="0" w:space="0" w:color="auto"/>
        <w:bottom w:val="none" w:sz="0" w:space="0" w:color="auto"/>
        <w:right w:val="none" w:sz="0" w:space="0" w:color="auto"/>
      </w:divBdr>
    </w:div>
    <w:div w:id="1626538638">
      <w:bodyDiv w:val="1"/>
      <w:marLeft w:val="0"/>
      <w:marRight w:val="0"/>
      <w:marTop w:val="0"/>
      <w:marBottom w:val="0"/>
      <w:divBdr>
        <w:top w:val="none" w:sz="0" w:space="0" w:color="auto"/>
        <w:left w:val="none" w:sz="0" w:space="0" w:color="auto"/>
        <w:bottom w:val="none" w:sz="0" w:space="0" w:color="auto"/>
        <w:right w:val="none" w:sz="0" w:space="0" w:color="auto"/>
      </w:divBdr>
    </w:div>
    <w:div w:id="1636443551">
      <w:bodyDiv w:val="1"/>
      <w:marLeft w:val="0"/>
      <w:marRight w:val="0"/>
      <w:marTop w:val="0"/>
      <w:marBottom w:val="0"/>
      <w:divBdr>
        <w:top w:val="none" w:sz="0" w:space="0" w:color="auto"/>
        <w:left w:val="none" w:sz="0" w:space="0" w:color="auto"/>
        <w:bottom w:val="none" w:sz="0" w:space="0" w:color="auto"/>
        <w:right w:val="none" w:sz="0" w:space="0" w:color="auto"/>
      </w:divBdr>
    </w:div>
    <w:div w:id="1658529228">
      <w:bodyDiv w:val="1"/>
      <w:marLeft w:val="0"/>
      <w:marRight w:val="0"/>
      <w:marTop w:val="0"/>
      <w:marBottom w:val="0"/>
      <w:divBdr>
        <w:top w:val="none" w:sz="0" w:space="0" w:color="auto"/>
        <w:left w:val="none" w:sz="0" w:space="0" w:color="auto"/>
        <w:bottom w:val="none" w:sz="0" w:space="0" w:color="auto"/>
        <w:right w:val="none" w:sz="0" w:space="0" w:color="auto"/>
      </w:divBdr>
    </w:div>
    <w:div w:id="1666935562">
      <w:bodyDiv w:val="1"/>
      <w:marLeft w:val="0"/>
      <w:marRight w:val="0"/>
      <w:marTop w:val="0"/>
      <w:marBottom w:val="0"/>
      <w:divBdr>
        <w:top w:val="none" w:sz="0" w:space="0" w:color="auto"/>
        <w:left w:val="none" w:sz="0" w:space="0" w:color="auto"/>
        <w:bottom w:val="none" w:sz="0" w:space="0" w:color="auto"/>
        <w:right w:val="none" w:sz="0" w:space="0" w:color="auto"/>
      </w:divBdr>
    </w:div>
    <w:div w:id="1672831776">
      <w:bodyDiv w:val="1"/>
      <w:marLeft w:val="0"/>
      <w:marRight w:val="0"/>
      <w:marTop w:val="0"/>
      <w:marBottom w:val="0"/>
      <w:divBdr>
        <w:top w:val="none" w:sz="0" w:space="0" w:color="auto"/>
        <w:left w:val="none" w:sz="0" w:space="0" w:color="auto"/>
        <w:bottom w:val="none" w:sz="0" w:space="0" w:color="auto"/>
        <w:right w:val="none" w:sz="0" w:space="0" w:color="auto"/>
      </w:divBdr>
    </w:div>
    <w:div w:id="1675187402">
      <w:bodyDiv w:val="1"/>
      <w:marLeft w:val="0"/>
      <w:marRight w:val="0"/>
      <w:marTop w:val="0"/>
      <w:marBottom w:val="0"/>
      <w:divBdr>
        <w:top w:val="none" w:sz="0" w:space="0" w:color="auto"/>
        <w:left w:val="none" w:sz="0" w:space="0" w:color="auto"/>
        <w:bottom w:val="none" w:sz="0" w:space="0" w:color="auto"/>
        <w:right w:val="none" w:sz="0" w:space="0" w:color="auto"/>
      </w:divBdr>
    </w:div>
    <w:div w:id="1702170913">
      <w:bodyDiv w:val="1"/>
      <w:marLeft w:val="0"/>
      <w:marRight w:val="0"/>
      <w:marTop w:val="0"/>
      <w:marBottom w:val="0"/>
      <w:divBdr>
        <w:top w:val="none" w:sz="0" w:space="0" w:color="auto"/>
        <w:left w:val="none" w:sz="0" w:space="0" w:color="auto"/>
        <w:bottom w:val="none" w:sz="0" w:space="0" w:color="auto"/>
        <w:right w:val="none" w:sz="0" w:space="0" w:color="auto"/>
      </w:divBdr>
    </w:div>
    <w:div w:id="1706908012">
      <w:bodyDiv w:val="1"/>
      <w:marLeft w:val="0"/>
      <w:marRight w:val="0"/>
      <w:marTop w:val="0"/>
      <w:marBottom w:val="0"/>
      <w:divBdr>
        <w:top w:val="none" w:sz="0" w:space="0" w:color="auto"/>
        <w:left w:val="none" w:sz="0" w:space="0" w:color="auto"/>
        <w:bottom w:val="none" w:sz="0" w:space="0" w:color="auto"/>
        <w:right w:val="none" w:sz="0" w:space="0" w:color="auto"/>
      </w:divBdr>
      <w:divsChild>
        <w:div w:id="1264650049">
          <w:marLeft w:val="0"/>
          <w:marRight w:val="0"/>
          <w:marTop w:val="0"/>
          <w:marBottom w:val="0"/>
          <w:divBdr>
            <w:top w:val="none" w:sz="0" w:space="0" w:color="auto"/>
            <w:left w:val="none" w:sz="0" w:space="0" w:color="auto"/>
            <w:bottom w:val="none" w:sz="0" w:space="0" w:color="auto"/>
            <w:right w:val="none" w:sz="0" w:space="0" w:color="auto"/>
          </w:divBdr>
          <w:divsChild>
            <w:div w:id="1102798413">
              <w:marLeft w:val="0"/>
              <w:marRight w:val="0"/>
              <w:marTop w:val="0"/>
              <w:marBottom w:val="0"/>
              <w:divBdr>
                <w:top w:val="none" w:sz="0" w:space="0" w:color="auto"/>
                <w:left w:val="none" w:sz="0" w:space="0" w:color="auto"/>
                <w:bottom w:val="none" w:sz="0" w:space="0" w:color="auto"/>
                <w:right w:val="none" w:sz="0" w:space="0" w:color="auto"/>
              </w:divBdr>
              <w:divsChild>
                <w:div w:id="176502356">
                  <w:marLeft w:val="0"/>
                  <w:marRight w:val="0"/>
                  <w:marTop w:val="0"/>
                  <w:marBottom w:val="0"/>
                  <w:divBdr>
                    <w:top w:val="none" w:sz="0" w:space="0" w:color="auto"/>
                    <w:left w:val="none" w:sz="0" w:space="0" w:color="auto"/>
                    <w:bottom w:val="none" w:sz="0" w:space="0" w:color="auto"/>
                    <w:right w:val="none" w:sz="0" w:space="0" w:color="auto"/>
                  </w:divBdr>
                  <w:divsChild>
                    <w:div w:id="487479406">
                      <w:marLeft w:val="0"/>
                      <w:marRight w:val="0"/>
                      <w:marTop w:val="0"/>
                      <w:marBottom w:val="0"/>
                      <w:divBdr>
                        <w:top w:val="none" w:sz="0" w:space="0" w:color="auto"/>
                        <w:left w:val="none" w:sz="0" w:space="0" w:color="auto"/>
                        <w:bottom w:val="none" w:sz="0" w:space="0" w:color="auto"/>
                        <w:right w:val="none" w:sz="0" w:space="0" w:color="auto"/>
                      </w:divBdr>
                      <w:divsChild>
                        <w:div w:id="1542672847">
                          <w:marLeft w:val="0"/>
                          <w:marRight w:val="0"/>
                          <w:marTop w:val="0"/>
                          <w:marBottom w:val="0"/>
                          <w:divBdr>
                            <w:top w:val="none" w:sz="0" w:space="0" w:color="auto"/>
                            <w:left w:val="none" w:sz="0" w:space="0" w:color="auto"/>
                            <w:bottom w:val="none" w:sz="0" w:space="0" w:color="auto"/>
                            <w:right w:val="none" w:sz="0" w:space="0" w:color="auto"/>
                          </w:divBdr>
                          <w:divsChild>
                            <w:div w:id="1398363848">
                              <w:marLeft w:val="0"/>
                              <w:marRight w:val="0"/>
                              <w:marTop w:val="0"/>
                              <w:marBottom w:val="0"/>
                              <w:divBdr>
                                <w:top w:val="none" w:sz="0" w:space="0" w:color="auto"/>
                                <w:left w:val="none" w:sz="0" w:space="0" w:color="auto"/>
                                <w:bottom w:val="none" w:sz="0" w:space="0" w:color="auto"/>
                                <w:right w:val="none" w:sz="0" w:space="0" w:color="auto"/>
                              </w:divBdr>
                              <w:divsChild>
                                <w:div w:id="1074208682">
                                  <w:marLeft w:val="0"/>
                                  <w:marRight w:val="0"/>
                                  <w:marTop w:val="0"/>
                                  <w:marBottom w:val="0"/>
                                  <w:divBdr>
                                    <w:top w:val="none" w:sz="0" w:space="0" w:color="auto"/>
                                    <w:left w:val="none" w:sz="0" w:space="0" w:color="auto"/>
                                    <w:bottom w:val="none" w:sz="0" w:space="0" w:color="auto"/>
                                    <w:right w:val="none" w:sz="0" w:space="0" w:color="auto"/>
                                  </w:divBdr>
                                  <w:divsChild>
                                    <w:div w:id="599996365">
                                      <w:marLeft w:val="0"/>
                                      <w:marRight w:val="0"/>
                                      <w:marTop w:val="0"/>
                                      <w:marBottom w:val="0"/>
                                      <w:divBdr>
                                        <w:top w:val="none" w:sz="0" w:space="0" w:color="auto"/>
                                        <w:left w:val="none" w:sz="0" w:space="0" w:color="auto"/>
                                        <w:bottom w:val="none" w:sz="0" w:space="0" w:color="auto"/>
                                        <w:right w:val="none" w:sz="0" w:space="0" w:color="auto"/>
                                      </w:divBdr>
                                      <w:divsChild>
                                        <w:div w:id="1070268934">
                                          <w:marLeft w:val="0"/>
                                          <w:marRight w:val="0"/>
                                          <w:marTop w:val="0"/>
                                          <w:marBottom w:val="0"/>
                                          <w:divBdr>
                                            <w:top w:val="none" w:sz="0" w:space="0" w:color="auto"/>
                                            <w:left w:val="none" w:sz="0" w:space="0" w:color="auto"/>
                                            <w:bottom w:val="none" w:sz="0" w:space="0" w:color="auto"/>
                                            <w:right w:val="none" w:sz="0" w:space="0" w:color="auto"/>
                                          </w:divBdr>
                                          <w:divsChild>
                                            <w:div w:id="19653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4645409">
      <w:bodyDiv w:val="1"/>
      <w:marLeft w:val="0"/>
      <w:marRight w:val="0"/>
      <w:marTop w:val="0"/>
      <w:marBottom w:val="0"/>
      <w:divBdr>
        <w:top w:val="none" w:sz="0" w:space="0" w:color="auto"/>
        <w:left w:val="none" w:sz="0" w:space="0" w:color="auto"/>
        <w:bottom w:val="none" w:sz="0" w:space="0" w:color="auto"/>
        <w:right w:val="none" w:sz="0" w:space="0" w:color="auto"/>
      </w:divBdr>
    </w:div>
    <w:div w:id="1734235358">
      <w:bodyDiv w:val="1"/>
      <w:marLeft w:val="0"/>
      <w:marRight w:val="0"/>
      <w:marTop w:val="0"/>
      <w:marBottom w:val="0"/>
      <w:divBdr>
        <w:top w:val="none" w:sz="0" w:space="0" w:color="auto"/>
        <w:left w:val="none" w:sz="0" w:space="0" w:color="auto"/>
        <w:bottom w:val="none" w:sz="0" w:space="0" w:color="auto"/>
        <w:right w:val="none" w:sz="0" w:space="0" w:color="auto"/>
      </w:divBdr>
    </w:div>
    <w:div w:id="1764300522">
      <w:bodyDiv w:val="1"/>
      <w:marLeft w:val="0"/>
      <w:marRight w:val="0"/>
      <w:marTop w:val="0"/>
      <w:marBottom w:val="0"/>
      <w:divBdr>
        <w:top w:val="none" w:sz="0" w:space="0" w:color="auto"/>
        <w:left w:val="none" w:sz="0" w:space="0" w:color="auto"/>
        <w:bottom w:val="none" w:sz="0" w:space="0" w:color="auto"/>
        <w:right w:val="none" w:sz="0" w:space="0" w:color="auto"/>
      </w:divBdr>
    </w:div>
    <w:div w:id="1821575598">
      <w:bodyDiv w:val="1"/>
      <w:marLeft w:val="0"/>
      <w:marRight w:val="0"/>
      <w:marTop w:val="0"/>
      <w:marBottom w:val="0"/>
      <w:divBdr>
        <w:top w:val="none" w:sz="0" w:space="0" w:color="auto"/>
        <w:left w:val="none" w:sz="0" w:space="0" w:color="auto"/>
        <w:bottom w:val="none" w:sz="0" w:space="0" w:color="auto"/>
        <w:right w:val="none" w:sz="0" w:space="0" w:color="auto"/>
      </w:divBdr>
    </w:div>
    <w:div w:id="1836796335">
      <w:bodyDiv w:val="1"/>
      <w:marLeft w:val="0"/>
      <w:marRight w:val="0"/>
      <w:marTop w:val="0"/>
      <w:marBottom w:val="0"/>
      <w:divBdr>
        <w:top w:val="none" w:sz="0" w:space="0" w:color="auto"/>
        <w:left w:val="none" w:sz="0" w:space="0" w:color="auto"/>
        <w:bottom w:val="none" w:sz="0" w:space="0" w:color="auto"/>
        <w:right w:val="none" w:sz="0" w:space="0" w:color="auto"/>
      </w:divBdr>
    </w:div>
    <w:div w:id="1864005999">
      <w:bodyDiv w:val="1"/>
      <w:marLeft w:val="0"/>
      <w:marRight w:val="0"/>
      <w:marTop w:val="0"/>
      <w:marBottom w:val="0"/>
      <w:divBdr>
        <w:top w:val="none" w:sz="0" w:space="0" w:color="auto"/>
        <w:left w:val="none" w:sz="0" w:space="0" w:color="auto"/>
        <w:bottom w:val="none" w:sz="0" w:space="0" w:color="auto"/>
        <w:right w:val="none" w:sz="0" w:space="0" w:color="auto"/>
      </w:divBdr>
    </w:div>
    <w:div w:id="1880194741">
      <w:bodyDiv w:val="1"/>
      <w:marLeft w:val="0"/>
      <w:marRight w:val="0"/>
      <w:marTop w:val="0"/>
      <w:marBottom w:val="0"/>
      <w:divBdr>
        <w:top w:val="none" w:sz="0" w:space="0" w:color="auto"/>
        <w:left w:val="none" w:sz="0" w:space="0" w:color="auto"/>
        <w:bottom w:val="none" w:sz="0" w:space="0" w:color="auto"/>
        <w:right w:val="none" w:sz="0" w:space="0" w:color="auto"/>
      </w:divBdr>
    </w:div>
    <w:div w:id="1883709557">
      <w:bodyDiv w:val="1"/>
      <w:marLeft w:val="0"/>
      <w:marRight w:val="0"/>
      <w:marTop w:val="0"/>
      <w:marBottom w:val="0"/>
      <w:divBdr>
        <w:top w:val="none" w:sz="0" w:space="0" w:color="auto"/>
        <w:left w:val="none" w:sz="0" w:space="0" w:color="auto"/>
        <w:bottom w:val="none" w:sz="0" w:space="0" w:color="auto"/>
        <w:right w:val="none" w:sz="0" w:space="0" w:color="auto"/>
      </w:divBdr>
    </w:div>
    <w:div w:id="1903784185">
      <w:bodyDiv w:val="1"/>
      <w:marLeft w:val="0"/>
      <w:marRight w:val="0"/>
      <w:marTop w:val="0"/>
      <w:marBottom w:val="0"/>
      <w:divBdr>
        <w:top w:val="none" w:sz="0" w:space="0" w:color="auto"/>
        <w:left w:val="none" w:sz="0" w:space="0" w:color="auto"/>
        <w:bottom w:val="none" w:sz="0" w:space="0" w:color="auto"/>
        <w:right w:val="none" w:sz="0" w:space="0" w:color="auto"/>
      </w:divBdr>
      <w:divsChild>
        <w:div w:id="819275471">
          <w:marLeft w:val="0"/>
          <w:marRight w:val="0"/>
          <w:marTop w:val="0"/>
          <w:marBottom w:val="0"/>
          <w:divBdr>
            <w:top w:val="none" w:sz="0" w:space="0" w:color="auto"/>
            <w:left w:val="none" w:sz="0" w:space="0" w:color="auto"/>
            <w:bottom w:val="none" w:sz="0" w:space="0" w:color="auto"/>
            <w:right w:val="none" w:sz="0" w:space="0" w:color="auto"/>
          </w:divBdr>
          <w:divsChild>
            <w:div w:id="19008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84204">
      <w:bodyDiv w:val="1"/>
      <w:marLeft w:val="0"/>
      <w:marRight w:val="0"/>
      <w:marTop w:val="0"/>
      <w:marBottom w:val="0"/>
      <w:divBdr>
        <w:top w:val="none" w:sz="0" w:space="0" w:color="auto"/>
        <w:left w:val="none" w:sz="0" w:space="0" w:color="auto"/>
        <w:bottom w:val="none" w:sz="0" w:space="0" w:color="auto"/>
        <w:right w:val="none" w:sz="0" w:space="0" w:color="auto"/>
      </w:divBdr>
    </w:div>
    <w:div w:id="1928465294">
      <w:bodyDiv w:val="1"/>
      <w:marLeft w:val="0"/>
      <w:marRight w:val="0"/>
      <w:marTop w:val="0"/>
      <w:marBottom w:val="0"/>
      <w:divBdr>
        <w:top w:val="none" w:sz="0" w:space="0" w:color="auto"/>
        <w:left w:val="none" w:sz="0" w:space="0" w:color="auto"/>
        <w:bottom w:val="none" w:sz="0" w:space="0" w:color="auto"/>
        <w:right w:val="none" w:sz="0" w:space="0" w:color="auto"/>
      </w:divBdr>
    </w:div>
    <w:div w:id="1947883352">
      <w:bodyDiv w:val="1"/>
      <w:marLeft w:val="0"/>
      <w:marRight w:val="0"/>
      <w:marTop w:val="0"/>
      <w:marBottom w:val="0"/>
      <w:divBdr>
        <w:top w:val="none" w:sz="0" w:space="0" w:color="auto"/>
        <w:left w:val="none" w:sz="0" w:space="0" w:color="auto"/>
        <w:bottom w:val="none" w:sz="0" w:space="0" w:color="auto"/>
        <w:right w:val="none" w:sz="0" w:space="0" w:color="auto"/>
      </w:divBdr>
    </w:div>
    <w:div w:id="1950115558">
      <w:bodyDiv w:val="1"/>
      <w:marLeft w:val="0"/>
      <w:marRight w:val="0"/>
      <w:marTop w:val="0"/>
      <w:marBottom w:val="0"/>
      <w:divBdr>
        <w:top w:val="none" w:sz="0" w:space="0" w:color="auto"/>
        <w:left w:val="none" w:sz="0" w:space="0" w:color="auto"/>
        <w:bottom w:val="none" w:sz="0" w:space="0" w:color="auto"/>
        <w:right w:val="none" w:sz="0" w:space="0" w:color="auto"/>
      </w:divBdr>
      <w:divsChild>
        <w:div w:id="129442725">
          <w:marLeft w:val="0"/>
          <w:marRight w:val="0"/>
          <w:marTop w:val="0"/>
          <w:marBottom w:val="0"/>
          <w:divBdr>
            <w:top w:val="none" w:sz="0" w:space="0" w:color="auto"/>
            <w:left w:val="none" w:sz="0" w:space="0" w:color="auto"/>
            <w:bottom w:val="none" w:sz="0" w:space="0" w:color="auto"/>
            <w:right w:val="none" w:sz="0" w:space="0" w:color="auto"/>
          </w:divBdr>
          <w:divsChild>
            <w:div w:id="146592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8586">
      <w:bodyDiv w:val="1"/>
      <w:marLeft w:val="0"/>
      <w:marRight w:val="0"/>
      <w:marTop w:val="0"/>
      <w:marBottom w:val="0"/>
      <w:divBdr>
        <w:top w:val="none" w:sz="0" w:space="0" w:color="auto"/>
        <w:left w:val="none" w:sz="0" w:space="0" w:color="auto"/>
        <w:bottom w:val="none" w:sz="0" w:space="0" w:color="auto"/>
        <w:right w:val="none" w:sz="0" w:space="0" w:color="auto"/>
      </w:divBdr>
    </w:div>
    <w:div w:id="2032299774">
      <w:bodyDiv w:val="1"/>
      <w:marLeft w:val="0"/>
      <w:marRight w:val="0"/>
      <w:marTop w:val="0"/>
      <w:marBottom w:val="0"/>
      <w:divBdr>
        <w:top w:val="none" w:sz="0" w:space="0" w:color="auto"/>
        <w:left w:val="none" w:sz="0" w:space="0" w:color="auto"/>
        <w:bottom w:val="none" w:sz="0" w:space="0" w:color="auto"/>
        <w:right w:val="none" w:sz="0" w:space="0" w:color="auto"/>
      </w:divBdr>
    </w:div>
    <w:div w:id="2032753984">
      <w:bodyDiv w:val="1"/>
      <w:marLeft w:val="0"/>
      <w:marRight w:val="0"/>
      <w:marTop w:val="0"/>
      <w:marBottom w:val="0"/>
      <w:divBdr>
        <w:top w:val="none" w:sz="0" w:space="0" w:color="auto"/>
        <w:left w:val="none" w:sz="0" w:space="0" w:color="auto"/>
        <w:bottom w:val="none" w:sz="0" w:space="0" w:color="auto"/>
        <w:right w:val="none" w:sz="0" w:space="0" w:color="auto"/>
      </w:divBdr>
    </w:div>
    <w:div w:id="2036226301">
      <w:bodyDiv w:val="1"/>
      <w:marLeft w:val="0"/>
      <w:marRight w:val="0"/>
      <w:marTop w:val="0"/>
      <w:marBottom w:val="0"/>
      <w:divBdr>
        <w:top w:val="none" w:sz="0" w:space="0" w:color="auto"/>
        <w:left w:val="none" w:sz="0" w:space="0" w:color="auto"/>
        <w:bottom w:val="none" w:sz="0" w:space="0" w:color="auto"/>
        <w:right w:val="none" w:sz="0" w:space="0" w:color="auto"/>
      </w:divBdr>
    </w:div>
    <w:div w:id="2055037698">
      <w:bodyDiv w:val="1"/>
      <w:marLeft w:val="0"/>
      <w:marRight w:val="0"/>
      <w:marTop w:val="0"/>
      <w:marBottom w:val="0"/>
      <w:divBdr>
        <w:top w:val="none" w:sz="0" w:space="0" w:color="auto"/>
        <w:left w:val="none" w:sz="0" w:space="0" w:color="auto"/>
        <w:bottom w:val="none" w:sz="0" w:space="0" w:color="auto"/>
        <w:right w:val="none" w:sz="0" w:space="0" w:color="auto"/>
      </w:divBdr>
    </w:div>
    <w:div w:id="2055301781">
      <w:bodyDiv w:val="1"/>
      <w:marLeft w:val="0"/>
      <w:marRight w:val="0"/>
      <w:marTop w:val="0"/>
      <w:marBottom w:val="0"/>
      <w:divBdr>
        <w:top w:val="none" w:sz="0" w:space="0" w:color="auto"/>
        <w:left w:val="none" w:sz="0" w:space="0" w:color="auto"/>
        <w:bottom w:val="none" w:sz="0" w:space="0" w:color="auto"/>
        <w:right w:val="none" w:sz="0" w:space="0" w:color="auto"/>
      </w:divBdr>
    </w:div>
    <w:div w:id="2059087505">
      <w:bodyDiv w:val="1"/>
      <w:marLeft w:val="0"/>
      <w:marRight w:val="0"/>
      <w:marTop w:val="0"/>
      <w:marBottom w:val="0"/>
      <w:divBdr>
        <w:top w:val="none" w:sz="0" w:space="0" w:color="auto"/>
        <w:left w:val="none" w:sz="0" w:space="0" w:color="auto"/>
        <w:bottom w:val="none" w:sz="0" w:space="0" w:color="auto"/>
        <w:right w:val="none" w:sz="0" w:space="0" w:color="auto"/>
      </w:divBdr>
    </w:div>
    <w:div w:id="2084795132">
      <w:bodyDiv w:val="1"/>
      <w:marLeft w:val="0"/>
      <w:marRight w:val="0"/>
      <w:marTop w:val="0"/>
      <w:marBottom w:val="0"/>
      <w:divBdr>
        <w:top w:val="none" w:sz="0" w:space="0" w:color="auto"/>
        <w:left w:val="none" w:sz="0" w:space="0" w:color="auto"/>
        <w:bottom w:val="none" w:sz="0" w:space="0" w:color="auto"/>
        <w:right w:val="none" w:sz="0" w:space="0" w:color="auto"/>
      </w:divBdr>
    </w:div>
    <w:div w:id="2107654713">
      <w:bodyDiv w:val="1"/>
      <w:marLeft w:val="0"/>
      <w:marRight w:val="0"/>
      <w:marTop w:val="0"/>
      <w:marBottom w:val="0"/>
      <w:divBdr>
        <w:top w:val="none" w:sz="0" w:space="0" w:color="auto"/>
        <w:left w:val="none" w:sz="0" w:space="0" w:color="auto"/>
        <w:bottom w:val="none" w:sz="0" w:space="0" w:color="auto"/>
        <w:right w:val="none" w:sz="0" w:space="0" w:color="auto"/>
      </w:divBdr>
    </w:div>
    <w:div w:id="2127381526">
      <w:bodyDiv w:val="1"/>
      <w:marLeft w:val="0"/>
      <w:marRight w:val="0"/>
      <w:marTop w:val="0"/>
      <w:marBottom w:val="0"/>
      <w:divBdr>
        <w:top w:val="none" w:sz="0" w:space="0" w:color="auto"/>
        <w:left w:val="none" w:sz="0" w:space="0" w:color="auto"/>
        <w:bottom w:val="none" w:sz="0" w:space="0" w:color="auto"/>
        <w:right w:val="none" w:sz="0" w:space="0" w:color="auto"/>
      </w:divBdr>
      <w:divsChild>
        <w:div w:id="391272072">
          <w:marLeft w:val="0"/>
          <w:marRight w:val="0"/>
          <w:marTop w:val="0"/>
          <w:marBottom w:val="0"/>
          <w:divBdr>
            <w:top w:val="none" w:sz="0" w:space="0" w:color="auto"/>
            <w:left w:val="none" w:sz="0" w:space="0" w:color="auto"/>
            <w:bottom w:val="none" w:sz="0" w:space="0" w:color="auto"/>
            <w:right w:val="none" w:sz="0" w:space="0" w:color="auto"/>
          </w:divBdr>
        </w:div>
        <w:div w:id="890726452">
          <w:marLeft w:val="0"/>
          <w:marRight w:val="0"/>
          <w:marTop w:val="0"/>
          <w:marBottom w:val="0"/>
          <w:divBdr>
            <w:top w:val="none" w:sz="0" w:space="0" w:color="auto"/>
            <w:left w:val="none" w:sz="0" w:space="0" w:color="auto"/>
            <w:bottom w:val="none" w:sz="0" w:space="0" w:color="auto"/>
            <w:right w:val="none" w:sz="0" w:space="0" w:color="auto"/>
          </w:divBdr>
        </w:div>
        <w:div w:id="912199153">
          <w:marLeft w:val="0"/>
          <w:marRight w:val="0"/>
          <w:marTop w:val="0"/>
          <w:marBottom w:val="0"/>
          <w:divBdr>
            <w:top w:val="none" w:sz="0" w:space="0" w:color="auto"/>
            <w:left w:val="none" w:sz="0" w:space="0" w:color="auto"/>
            <w:bottom w:val="none" w:sz="0" w:space="0" w:color="auto"/>
            <w:right w:val="none" w:sz="0" w:space="0" w:color="auto"/>
          </w:divBdr>
        </w:div>
        <w:div w:id="922837438">
          <w:marLeft w:val="0"/>
          <w:marRight w:val="0"/>
          <w:marTop w:val="0"/>
          <w:marBottom w:val="0"/>
          <w:divBdr>
            <w:top w:val="none" w:sz="0" w:space="0" w:color="auto"/>
            <w:left w:val="none" w:sz="0" w:space="0" w:color="auto"/>
            <w:bottom w:val="none" w:sz="0" w:space="0" w:color="auto"/>
            <w:right w:val="none" w:sz="0" w:space="0" w:color="auto"/>
          </w:divBdr>
        </w:div>
        <w:div w:id="1106198508">
          <w:marLeft w:val="0"/>
          <w:marRight w:val="0"/>
          <w:marTop w:val="0"/>
          <w:marBottom w:val="0"/>
          <w:divBdr>
            <w:top w:val="none" w:sz="0" w:space="0" w:color="auto"/>
            <w:left w:val="none" w:sz="0" w:space="0" w:color="auto"/>
            <w:bottom w:val="none" w:sz="0" w:space="0" w:color="auto"/>
            <w:right w:val="none" w:sz="0" w:space="0" w:color="auto"/>
          </w:divBdr>
        </w:div>
        <w:div w:id="1341464325">
          <w:marLeft w:val="0"/>
          <w:marRight w:val="0"/>
          <w:marTop w:val="0"/>
          <w:marBottom w:val="0"/>
          <w:divBdr>
            <w:top w:val="none" w:sz="0" w:space="0" w:color="auto"/>
            <w:left w:val="none" w:sz="0" w:space="0" w:color="auto"/>
            <w:bottom w:val="none" w:sz="0" w:space="0" w:color="auto"/>
            <w:right w:val="none" w:sz="0" w:space="0" w:color="auto"/>
          </w:divBdr>
        </w:div>
        <w:div w:id="1363821742">
          <w:marLeft w:val="0"/>
          <w:marRight w:val="0"/>
          <w:marTop w:val="0"/>
          <w:marBottom w:val="0"/>
          <w:divBdr>
            <w:top w:val="none" w:sz="0" w:space="0" w:color="auto"/>
            <w:left w:val="none" w:sz="0" w:space="0" w:color="auto"/>
            <w:bottom w:val="none" w:sz="0" w:space="0" w:color="auto"/>
            <w:right w:val="none" w:sz="0" w:space="0" w:color="auto"/>
          </w:divBdr>
        </w:div>
        <w:div w:id="1788817092">
          <w:marLeft w:val="0"/>
          <w:marRight w:val="0"/>
          <w:marTop w:val="0"/>
          <w:marBottom w:val="0"/>
          <w:divBdr>
            <w:top w:val="none" w:sz="0" w:space="0" w:color="auto"/>
            <w:left w:val="none" w:sz="0" w:space="0" w:color="auto"/>
            <w:bottom w:val="none" w:sz="0" w:space="0" w:color="auto"/>
            <w:right w:val="none" w:sz="0" w:space="0" w:color="auto"/>
          </w:divBdr>
        </w:div>
        <w:div w:id="191496595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01.safelinks.protection.outlook.com/?url=https%3A%2F%2Fwww.gov.uk%2Fguidance%2Fcollecting-paper-and-card-with-other-dry-recyclable-materials-written-assessments&amp;data=05%7C02%7Cnkennedy%40oxfordcitycouncil.mail.onmicrosoft.com%7Ccd071bc204314f08aeb508dd109c84e4%7C9f3d0f395e2b4f889d43e9344f9aa02d%7C0%7C0%7C638684986843012447%7CUnknown%7CTWFpbGZsb3d8eyJFbXB0eU1hcGkiOnRydWUsIlYiOiIwLjAuMDAwMCIsIlAiOiJXaW4zMiIsIkFOIjoiTWFpbCIsIldUIjoyfQ%3D%3D%7C0%7C%7C%7C&amp;sdata=6AWYqRkTU17TURAa%2Btw0W2Wi%2BJfVD3Ol07uboMojTs4%3D&amp;reserved=0" TargetMode="External"/><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24C2B972B8AB04EA65D41434B777E9C" ma:contentTypeVersion="14" ma:contentTypeDescription="Create a new document." ma:contentTypeScope="" ma:versionID="a784bfdd8f0710fecd0f59183b8a3af0">
  <xsd:schema xmlns:xsd="http://www.w3.org/2001/XMLSchema" xmlns:xs="http://www.w3.org/2001/XMLSchema" xmlns:p="http://schemas.microsoft.com/office/2006/metadata/properties" xmlns:ns2="f0c51083-7223-4919-89ba-1e9ea700f53e" xmlns:ns3="366fe251-9aff-4671-b9ed-44127f22832c" targetNamespace="http://schemas.microsoft.com/office/2006/metadata/properties" ma:root="true" ma:fieldsID="f389812621a59ba73f1bf299f06e5374" ns2:_="" ns3:_="">
    <xsd:import namespace="f0c51083-7223-4919-89ba-1e9ea700f53e"/>
    <xsd:import namespace="366fe251-9aff-4671-b9ed-44127f2283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51083-7223-4919-89ba-1e9ea700f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6fe251-9aff-4671-b9ed-44127f2283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8e073f-d153-423b-a2fb-ccd171ebf580}" ma:internalName="TaxCatchAll" ma:showField="CatchAllData" ma:web="366fe251-9aff-4671-b9ed-44127f2283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6fe251-9aff-4671-b9ed-44127f22832c" xsi:nil="true"/>
    <lcf76f155ced4ddcb4097134ff3c332f xmlns="f0c51083-7223-4919-89ba-1e9ea700f53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95274-D817-472A-847D-DF74E3BF5DE0}">
  <ds:schemaRefs>
    <ds:schemaRef ds:uri="http://schemas.openxmlformats.org/officeDocument/2006/bibliography"/>
  </ds:schemaRefs>
</ds:datastoreItem>
</file>

<file path=customXml/itemProps2.xml><?xml version="1.0" encoding="utf-8"?>
<ds:datastoreItem xmlns:ds="http://schemas.openxmlformats.org/officeDocument/2006/customXml" ds:itemID="{196BDF1B-9AFF-4619-B4D1-CF25C9158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51083-7223-4919-89ba-1e9ea700f53e"/>
    <ds:schemaRef ds:uri="366fe251-9aff-4671-b9ed-44127f228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40362-CD58-4506-841E-8D459536BBCA}">
  <ds:schemaRefs>
    <ds:schemaRef ds:uri="http://purl.org/dc/dcmitype/"/>
    <ds:schemaRef ds:uri="http://schemas.microsoft.com/office/2006/metadata/properties"/>
    <ds:schemaRef ds:uri="http://schemas.microsoft.com/office/2006/documentManagement/types"/>
    <ds:schemaRef ds:uri="366fe251-9aff-4671-b9ed-44127f22832c"/>
    <ds:schemaRef ds:uri="f0c51083-7223-4919-89ba-1e9ea700f53e"/>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E9F83166-2D02-427D-AA99-00E0D498EB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35</Pages>
  <Words>12690</Words>
  <Characters>66928</Characters>
  <Application>Microsoft Office Word</Application>
  <DocSecurity>0</DocSecurity>
  <Lines>557</Lines>
  <Paragraphs>158</Paragraphs>
  <ScaleCrop>false</ScaleCrop>
  <HeadingPairs>
    <vt:vector size="2" baseType="variant">
      <vt:variant>
        <vt:lpstr>Title</vt:lpstr>
      </vt:variant>
      <vt:variant>
        <vt:i4>1</vt:i4>
      </vt:variant>
    </vt:vector>
  </HeadingPairs>
  <TitlesOfParts>
    <vt:vector size="1" baseType="lpstr">
      <vt:lpstr>DRAFT</vt:lpstr>
    </vt:vector>
  </TitlesOfParts>
  <Company>Oxford City Council</Company>
  <LinksUpToDate>false</LinksUpToDate>
  <CharactersWithSpaces>79460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x</dc:creator>
  <cp:keywords/>
  <dc:description/>
  <cp:lastModifiedBy>MALTON Jonathan</cp:lastModifiedBy>
  <cp:revision>49</cp:revision>
  <cp:lastPrinted>2020-11-11T01:45:00Z</cp:lastPrinted>
  <dcterms:created xsi:type="dcterms:W3CDTF">2025-11-27T13:38:00Z</dcterms:created>
  <dcterms:modified xsi:type="dcterms:W3CDTF">2025-12-02T19:15:00Z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0x010100924C2B972B8AB04EA65D41434B777E9C</vt:lpwstr>
  </property>
  <property fmtid="{D5CDD505-2E9C-101B-9397-08002B2CF9AE}" pid="3" name="MediaServiceImageTags">
    <vt:lpwstr/>
  </property>
  <property fmtid="{D5CDD505-2E9C-101B-9397-08002B2CF9AE}" pid="4" name="docLang">
    <vt:lpwstr>en</vt:lpwstr>
  </property>
</Properties>
</file>